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FB" w:rsidRDefault="005C1EFB" w:rsidP="00FA6545">
      <w:pPr>
        <w:spacing w:after="0"/>
        <w:jc w:val="center"/>
        <w:rPr>
          <w:rFonts w:ascii="Times New Roman" w:hAnsi="Times New Roman"/>
          <w:b/>
          <w:sz w:val="24"/>
          <w:szCs w:val="24"/>
          <w:lang w:val="sk-SK"/>
        </w:rPr>
      </w:pPr>
      <w:r w:rsidRPr="00182246">
        <w:rPr>
          <w:rFonts w:ascii="Times New Roman" w:hAnsi="Times New Roman"/>
          <w:b/>
          <w:sz w:val="24"/>
          <w:szCs w:val="24"/>
          <w:lang w:val="sk-SK"/>
        </w:rPr>
        <w:t>PRÍLOHA III – FINANČNÉ A ZMLUVNÉ PRAVIDLÁ</w:t>
      </w:r>
    </w:p>
    <w:p w:rsidR="00FA6545" w:rsidRPr="00182246" w:rsidRDefault="00FA6545" w:rsidP="00FA6545">
      <w:pPr>
        <w:spacing w:after="0"/>
        <w:jc w:val="both"/>
        <w:rPr>
          <w:rFonts w:ascii="Times New Roman" w:hAnsi="Times New Roman"/>
          <w:b/>
          <w:sz w:val="24"/>
          <w:szCs w:val="24"/>
          <w:lang w:val="sk-SK"/>
        </w:rPr>
      </w:pPr>
    </w:p>
    <w:p w:rsidR="005C1EFB" w:rsidRPr="00FA6545" w:rsidRDefault="005C1EFB" w:rsidP="00FA6545">
      <w:pPr>
        <w:numPr>
          <w:ilvl w:val="0"/>
          <w:numId w:val="23"/>
        </w:numPr>
        <w:spacing w:after="0"/>
        <w:ind w:left="284" w:hanging="284"/>
        <w:jc w:val="both"/>
        <w:rPr>
          <w:rFonts w:ascii="Times New Roman" w:hAnsi="Times New Roman"/>
          <w:b/>
          <w:sz w:val="24"/>
          <w:szCs w:val="24"/>
          <w:lang w:val="sk-SK"/>
        </w:rPr>
      </w:pPr>
      <w:r w:rsidRPr="00FA6545">
        <w:rPr>
          <w:rFonts w:ascii="Times New Roman" w:hAnsi="Times New Roman"/>
          <w:b/>
          <w:sz w:val="24"/>
          <w:szCs w:val="24"/>
          <w:lang w:val="sk-SK"/>
        </w:rPr>
        <w:t>ÚVOD</w:t>
      </w:r>
    </w:p>
    <w:p w:rsidR="005C1EFB" w:rsidRPr="00182246" w:rsidRDefault="005C1EFB" w:rsidP="00FA6545">
      <w:pPr>
        <w:spacing w:after="0"/>
        <w:jc w:val="both"/>
        <w:rPr>
          <w:rFonts w:ascii="Times New Roman" w:hAnsi="Times New Roman"/>
          <w:sz w:val="24"/>
          <w:szCs w:val="24"/>
          <w:lang w:val="sk-SK"/>
        </w:rPr>
      </w:pPr>
      <w:r w:rsidRPr="00182246">
        <w:rPr>
          <w:rFonts w:ascii="Times New Roman" w:hAnsi="Times New Roman"/>
          <w:sz w:val="24"/>
          <w:szCs w:val="24"/>
          <w:lang w:val="sk-SK"/>
        </w:rPr>
        <w:t>Táto príloha dopĺňa pravidlá platné pre používanie grantu v rámci rôznych rozpočtových kategórií platných pre projekt, ako je uvedené v zmluve. Tieto vysvetlenia sú uvedené v časti II.</w:t>
      </w:r>
    </w:p>
    <w:p w:rsidR="005C1EFB" w:rsidRPr="00182246" w:rsidRDefault="005C1EFB" w:rsidP="00FA6545">
      <w:pPr>
        <w:spacing w:after="0"/>
        <w:ind w:left="45"/>
        <w:jc w:val="both"/>
        <w:rPr>
          <w:rFonts w:ascii="Times New Roman" w:hAnsi="Times New Roman"/>
          <w:sz w:val="24"/>
          <w:szCs w:val="24"/>
          <w:lang w:val="sk-SK"/>
        </w:rPr>
      </w:pPr>
      <w:r w:rsidRPr="00182246">
        <w:rPr>
          <w:rFonts w:ascii="Times New Roman" w:hAnsi="Times New Roman"/>
          <w:sz w:val="24"/>
          <w:szCs w:val="24"/>
          <w:lang w:val="sk-SK"/>
        </w:rPr>
        <w:t>V časti III. sú uvedené špecifické sadzby platné pre rozpočtové kategórie, pre ktoré sa</w:t>
      </w:r>
      <w:r>
        <w:rPr>
          <w:rFonts w:ascii="Times New Roman" w:hAnsi="Times New Roman"/>
          <w:sz w:val="24"/>
          <w:szCs w:val="24"/>
          <w:lang w:val="sk-SK"/>
        </w:rPr>
        <w:t xml:space="preserve"> uplatňujú jednotkové náklady, ako je uvedené v č</w:t>
      </w:r>
      <w:r w:rsidRPr="00182246">
        <w:rPr>
          <w:rFonts w:ascii="Times New Roman" w:hAnsi="Times New Roman"/>
          <w:sz w:val="24"/>
          <w:szCs w:val="24"/>
          <w:lang w:val="sk-SK"/>
        </w:rPr>
        <w:t>lánku II.16.2 zmluvy.</w:t>
      </w:r>
      <w:r>
        <w:rPr>
          <w:rFonts w:ascii="Times New Roman" w:hAnsi="Times New Roman"/>
          <w:sz w:val="24"/>
          <w:szCs w:val="24"/>
          <w:lang w:val="sk-SK"/>
        </w:rPr>
        <w:t xml:space="preserve"> </w:t>
      </w:r>
    </w:p>
    <w:p w:rsidR="005C1EFB" w:rsidRPr="00182246" w:rsidRDefault="005C1EFB" w:rsidP="00FA6545">
      <w:pPr>
        <w:spacing w:after="0"/>
        <w:ind w:left="45"/>
        <w:jc w:val="both"/>
        <w:rPr>
          <w:rFonts w:ascii="Times New Roman" w:hAnsi="Times New Roman"/>
          <w:b/>
          <w:sz w:val="24"/>
          <w:szCs w:val="24"/>
          <w:lang w:val="sk-SK"/>
        </w:rPr>
      </w:pPr>
      <w:r w:rsidRPr="00182246">
        <w:rPr>
          <w:rFonts w:ascii="Times New Roman" w:hAnsi="Times New Roman"/>
          <w:sz w:val="24"/>
          <w:szCs w:val="24"/>
          <w:lang w:val="sk-SK"/>
        </w:rPr>
        <w:t xml:space="preserve">Časť IV poskytuje prehľad typov kontrol, ktoré môže vykonať národná agentúra </w:t>
      </w:r>
      <w:r>
        <w:rPr>
          <w:rFonts w:ascii="Times New Roman" w:hAnsi="Times New Roman"/>
          <w:sz w:val="24"/>
          <w:szCs w:val="24"/>
          <w:lang w:val="sk-SK"/>
        </w:rPr>
        <w:t>u príjemcu,</w:t>
      </w:r>
      <w:r w:rsidRPr="00182246">
        <w:rPr>
          <w:rFonts w:ascii="Times New Roman" w:hAnsi="Times New Roman"/>
          <w:sz w:val="24"/>
          <w:szCs w:val="24"/>
          <w:lang w:val="sk-SK"/>
        </w:rPr>
        <w:t xml:space="preserve"> a</w:t>
      </w:r>
      <w:r>
        <w:rPr>
          <w:rFonts w:ascii="Times New Roman" w:hAnsi="Times New Roman"/>
          <w:sz w:val="24"/>
          <w:szCs w:val="24"/>
          <w:lang w:val="sk-SK"/>
        </w:rPr>
        <w:t xml:space="preserve"> prehľad </w:t>
      </w:r>
      <w:r w:rsidRPr="00182246">
        <w:rPr>
          <w:rFonts w:ascii="Times New Roman" w:hAnsi="Times New Roman"/>
          <w:sz w:val="24"/>
          <w:szCs w:val="24"/>
          <w:lang w:val="sk-SK"/>
        </w:rPr>
        <w:t xml:space="preserve">súvisiacich podporných dokumentov. </w:t>
      </w:r>
    </w:p>
    <w:p w:rsidR="005C1EFB" w:rsidRPr="00182246" w:rsidRDefault="005C1EFB" w:rsidP="00FA6545">
      <w:pPr>
        <w:spacing w:after="0"/>
        <w:jc w:val="both"/>
        <w:rPr>
          <w:rFonts w:ascii="Times New Roman" w:hAnsi="Times New Roman"/>
          <w:b/>
          <w:sz w:val="24"/>
          <w:szCs w:val="24"/>
          <w:lang w:val="sk-SK"/>
        </w:rPr>
      </w:pPr>
    </w:p>
    <w:p w:rsidR="005C1EFB" w:rsidRPr="00182246" w:rsidRDefault="005C1EFB" w:rsidP="00FA6545">
      <w:pPr>
        <w:spacing w:after="0"/>
        <w:jc w:val="both"/>
        <w:rPr>
          <w:rFonts w:ascii="Times New Roman" w:hAnsi="Times New Roman"/>
          <w:b/>
          <w:sz w:val="24"/>
          <w:szCs w:val="24"/>
          <w:lang w:val="sk-SK"/>
        </w:rPr>
      </w:pPr>
      <w:r w:rsidRPr="00182246">
        <w:rPr>
          <w:rFonts w:ascii="Times New Roman" w:hAnsi="Times New Roman"/>
          <w:b/>
          <w:sz w:val="24"/>
          <w:szCs w:val="24"/>
          <w:lang w:val="sk-SK"/>
        </w:rPr>
        <w:t xml:space="preserve">II. DOPLŇUJÚCE FINANČNÉ A ZMLUVNÉ PRAVIDLÁ </w:t>
      </w:r>
    </w:p>
    <w:p w:rsidR="00FA6545" w:rsidRDefault="00FA6545" w:rsidP="00FA6545">
      <w:pPr>
        <w:spacing w:after="0"/>
        <w:rPr>
          <w:rFonts w:ascii="Times New Roman" w:hAnsi="Times New Roman"/>
          <w:b/>
          <w:sz w:val="24"/>
          <w:szCs w:val="24"/>
          <w:lang w:val="sk-SK"/>
        </w:rPr>
      </w:pPr>
    </w:p>
    <w:p w:rsidR="00625E24" w:rsidRDefault="00625E24" w:rsidP="00FA6545">
      <w:pPr>
        <w:spacing w:after="0"/>
        <w:rPr>
          <w:rFonts w:ascii="Times New Roman" w:hAnsi="Times New Roman"/>
          <w:b/>
          <w:sz w:val="24"/>
          <w:szCs w:val="24"/>
          <w:lang w:val="sk-SK"/>
        </w:rPr>
      </w:pPr>
      <w:r w:rsidRPr="00AF421D">
        <w:rPr>
          <w:rFonts w:ascii="Times New Roman" w:hAnsi="Times New Roman"/>
          <w:b/>
          <w:sz w:val="24"/>
          <w:szCs w:val="24"/>
          <w:lang w:val="sk-SK"/>
        </w:rPr>
        <w:t>Kľúčová akcia 3 - Štruktúrovaný dialóg: stretnutia mladých ľudí so zástupcami rozhodujúcich subjektov v oblasti mládeže</w:t>
      </w:r>
    </w:p>
    <w:p w:rsidR="00FA6545" w:rsidRDefault="00FA6545" w:rsidP="00FA6545">
      <w:pPr>
        <w:spacing w:after="0"/>
        <w:rPr>
          <w:rFonts w:ascii="Times New Roman" w:hAnsi="Times New Roman"/>
          <w:sz w:val="24"/>
          <w:szCs w:val="24"/>
          <w:u w:val="single"/>
          <w:lang w:val="sk-SK"/>
        </w:rPr>
      </w:pPr>
    </w:p>
    <w:p w:rsidR="00625E24" w:rsidRPr="00AF421D" w:rsidRDefault="00625E24" w:rsidP="00FA6545">
      <w:pPr>
        <w:spacing w:after="0"/>
        <w:rPr>
          <w:rFonts w:ascii="Times New Roman" w:hAnsi="Times New Roman"/>
          <w:sz w:val="24"/>
          <w:szCs w:val="24"/>
          <w:u w:val="single"/>
          <w:lang w:val="sk-SK"/>
        </w:rPr>
      </w:pPr>
      <w:r w:rsidRPr="00AF421D">
        <w:rPr>
          <w:rFonts w:ascii="Times New Roman" w:hAnsi="Times New Roman"/>
          <w:sz w:val="24"/>
          <w:szCs w:val="24"/>
          <w:u w:val="single"/>
          <w:lang w:val="sk-SK"/>
        </w:rPr>
        <w:t>A. Oprávnenosť aktivít</w:t>
      </w:r>
    </w:p>
    <w:p w:rsidR="00625E24" w:rsidRPr="00AF421D" w:rsidRDefault="00625E24" w:rsidP="00FA6545">
      <w:pPr>
        <w:numPr>
          <w:ilvl w:val="0"/>
          <w:numId w:val="1"/>
        </w:numPr>
        <w:spacing w:after="0"/>
        <w:jc w:val="both"/>
        <w:rPr>
          <w:rFonts w:ascii="Times New Roman" w:hAnsi="Times New Roman"/>
          <w:sz w:val="24"/>
          <w:szCs w:val="24"/>
          <w:lang w:val="sk-SK"/>
        </w:rPr>
      </w:pPr>
      <w:r w:rsidRPr="00AF421D">
        <w:rPr>
          <w:rFonts w:ascii="Times New Roman" w:hAnsi="Times New Roman"/>
          <w:sz w:val="24"/>
          <w:szCs w:val="24"/>
          <w:lang w:val="sk-SK"/>
        </w:rPr>
        <w:t xml:space="preserve">Príjemca je povinný zabezpečiť, aby aktivity zrealizované s grantovou podporou pre projekt boli oprávnené v súlade s pravidlami stanovenými v Príručke programu Erasmus+. </w:t>
      </w:r>
    </w:p>
    <w:p w:rsidR="00625E24" w:rsidRPr="00AF421D" w:rsidRDefault="00625E24" w:rsidP="00FA6545">
      <w:pPr>
        <w:numPr>
          <w:ilvl w:val="0"/>
          <w:numId w:val="1"/>
        </w:numPr>
        <w:spacing w:after="0"/>
        <w:jc w:val="both"/>
        <w:rPr>
          <w:rFonts w:ascii="Times New Roman" w:hAnsi="Times New Roman"/>
          <w:sz w:val="24"/>
          <w:szCs w:val="24"/>
          <w:lang w:val="sk-SK"/>
        </w:rPr>
      </w:pPr>
      <w:r w:rsidRPr="00AF421D">
        <w:rPr>
          <w:rFonts w:ascii="Times New Roman" w:hAnsi="Times New Roman"/>
          <w:sz w:val="24"/>
          <w:szCs w:val="24"/>
          <w:lang w:val="sk-SK"/>
        </w:rPr>
        <w:t>Aktivity, ktoré nie sú realizované v súlade s pravidlami stanovenými v Príručke programu Erasmus+ doplnenými pravidlami stanovenými v prílohe III, bude NA považovať za neoprávnené a výšku grantu zodpovedajúcu týmto aktivitám je príjemca povinný vrátiť v plnej výške. Vratka musí zahŕňať všetky kategórie rozpočtu, ktoré sa týkajú aktivity označenej za neoprávnenú.</w:t>
      </w:r>
    </w:p>
    <w:p w:rsidR="00FA6545" w:rsidRDefault="00FA6545" w:rsidP="00FA6545">
      <w:pPr>
        <w:spacing w:after="0"/>
        <w:jc w:val="both"/>
        <w:rPr>
          <w:rFonts w:ascii="Times New Roman" w:hAnsi="Times New Roman"/>
          <w:sz w:val="24"/>
          <w:szCs w:val="24"/>
          <w:u w:val="single"/>
          <w:lang w:val="sk-SK"/>
        </w:rPr>
      </w:pPr>
    </w:p>
    <w:p w:rsidR="00AF421D" w:rsidRDefault="00AF421D" w:rsidP="00FA6545">
      <w:pPr>
        <w:spacing w:after="0"/>
        <w:jc w:val="both"/>
        <w:rPr>
          <w:rFonts w:ascii="Times New Roman" w:hAnsi="Times New Roman"/>
          <w:sz w:val="24"/>
          <w:szCs w:val="24"/>
          <w:u w:val="single"/>
          <w:lang w:val="sk-SK"/>
        </w:rPr>
      </w:pPr>
      <w:r>
        <w:rPr>
          <w:rFonts w:ascii="Times New Roman" w:hAnsi="Times New Roman"/>
          <w:sz w:val="24"/>
          <w:szCs w:val="24"/>
          <w:u w:val="single"/>
          <w:lang w:val="sk-SK"/>
        </w:rPr>
        <w:t>B. Oprávnenosť výdavkov</w:t>
      </w:r>
    </w:p>
    <w:p w:rsidR="00FA6545" w:rsidRPr="00AF421D" w:rsidRDefault="00FA6545" w:rsidP="00FA6545">
      <w:pPr>
        <w:spacing w:after="0"/>
        <w:jc w:val="both"/>
        <w:rPr>
          <w:rFonts w:ascii="Times New Roman" w:hAnsi="Times New Roman"/>
          <w:sz w:val="24"/>
          <w:szCs w:val="24"/>
          <w:u w:val="single"/>
          <w:lang w:val="sk-SK"/>
        </w:rPr>
      </w:pPr>
    </w:p>
    <w:p w:rsidR="00625E24" w:rsidRPr="00FA6545" w:rsidRDefault="00625E24" w:rsidP="00FA6545">
      <w:pPr>
        <w:numPr>
          <w:ilvl w:val="0"/>
          <w:numId w:val="10"/>
        </w:numPr>
        <w:spacing w:after="0"/>
        <w:rPr>
          <w:rFonts w:ascii="Times New Roman" w:hAnsi="Times New Roman"/>
          <w:lang w:val="sk-SK"/>
        </w:rPr>
      </w:pPr>
      <w:r w:rsidRPr="00FA6545">
        <w:rPr>
          <w:rFonts w:ascii="Times New Roman" w:hAnsi="Times New Roman"/>
          <w:lang w:val="sk-SK"/>
        </w:rPr>
        <w:t>Cestovné náklady</w:t>
      </w:r>
    </w:p>
    <w:p w:rsidR="00625E24" w:rsidRPr="00AF421D" w:rsidRDefault="00625E24" w:rsidP="00FA6545">
      <w:pPr>
        <w:numPr>
          <w:ilvl w:val="0"/>
          <w:numId w:val="1"/>
        </w:numPr>
        <w:spacing w:after="0"/>
        <w:rPr>
          <w:rFonts w:ascii="Times New Roman" w:hAnsi="Times New Roman"/>
          <w:lang w:val="sk-SK"/>
        </w:rPr>
      </w:pPr>
      <w:r w:rsidRPr="00AF421D">
        <w:rPr>
          <w:rFonts w:ascii="Times New Roman" w:hAnsi="Times New Roman"/>
          <w:lang w:val="sk-SK"/>
        </w:rPr>
        <w:t xml:space="preserve">Príjemca je povinný uviesť v Mobility Tool miesto odchodu a príchodu každého účastníka, na ktorého boli vynaložené cestovné náklady. V prípade, že cestovné náklady na účastníka neboli vynaložené, príjemca je povinný túto skutočnosť uviesť v Mobility Tool </w:t>
      </w:r>
    </w:p>
    <w:p w:rsidR="00625E24" w:rsidRPr="00AF421D" w:rsidRDefault="00625E24" w:rsidP="00FA6545">
      <w:pPr>
        <w:numPr>
          <w:ilvl w:val="0"/>
          <w:numId w:val="1"/>
        </w:numPr>
        <w:spacing w:after="0"/>
        <w:jc w:val="both"/>
        <w:rPr>
          <w:rFonts w:ascii="Times New Roman" w:hAnsi="Times New Roman"/>
          <w:lang w:val="sk-SK"/>
        </w:rPr>
      </w:pPr>
      <w:r w:rsidRPr="00AF421D">
        <w:rPr>
          <w:rFonts w:ascii="Times New Roman" w:hAnsi="Times New Roman"/>
          <w:lang w:val="sk-SK"/>
        </w:rPr>
        <w:t xml:space="preserve">Na stanovenie platného vzdialenostného pásma príjemca je povinný použiť online kalkulačku vzdialenosti, ktorá je prístupná na webovej stránke Európskej komisie http://ec.europa.eu/programmes/erasmus-plus/tools/distance_en.htm. Mobility Tool vypočíta výšku grantu na cestu na základe platných jednotkových sadzieb pre cestu. </w:t>
      </w:r>
    </w:p>
    <w:p w:rsidR="00625E24" w:rsidRPr="00AF421D" w:rsidRDefault="00625E24" w:rsidP="00FA6545">
      <w:pPr>
        <w:numPr>
          <w:ilvl w:val="0"/>
          <w:numId w:val="1"/>
        </w:numPr>
        <w:spacing w:after="0"/>
        <w:jc w:val="both"/>
        <w:rPr>
          <w:rFonts w:ascii="Times New Roman" w:hAnsi="Times New Roman"/>
          <w:lang w:val="sk-SK"/>
        </w:rPr>
      </w:pPr>
      <w:r w:rsidRPr="00AF421D">
        <w:rPr>
          <w:rFonts w:ascii="Times New Roman" w:hAnsi="Times New Roman"/>
          <w:lang w:val="sk-SK"/>
        </w:rPr>
        <w:t>Bežne sa miestom pôvodu rozumie miesto bydliska účastníka, a miestom konania miesto, kde organizácia hostí stretnutie (prijímajúca organizácia) . Ak sa uvádza iné miesto pôvodu alebo konania, príjemca je povinný uviesť dôvod tejto odlišnosti v Mobility Tool.</w:t>
      </w:r>
    </w:p>
    <w:p w:rsidR="00625E24" w:rsidRPr="00AF421D" w:rsidRDefault="00625E24" w:rsidP="00FA6545">
      <w:pPr>
        <w:spacing w:after="0"/>
        <w:ind w:left="720"/>
        <w:rPr>
          <w:rFonts w:ascii="Times New Roman" w:hAnsi="Times New Roman"/>
          <w:lang w:val="sk-SK"/>
        </w:rPr>
      </w:pPr>
    </w:p>
    <w:p w:rsidR="00625E24" w:rsidRPr="00AF421D" w:rsidRDefault="00625E24" w:rsidP="00FA6545">
      <w:pPr>
        <w:numPr>
          <w:ilvl w:val="0"/>
          <w:numId w:val="10"/>
        </w:numPr>
        <w:spacing w:after="0"/>
        <w:rPr>
          <w:rFonts w:ascii="Times New Roman" w:hAnsi="Times New Roman"/>
          <w:lang w:val="sk-SK"/>
        </w:rPr>
      </w:pPr>
      <w:r w:rsidRPr="00AF421D">
        <w:rPr>
          <w:rFonts w:ascii="Times New Roman" w:hAnsi="Times New Roman"/>
          <w:lang w:val="sk-SK"/>
        </w:rPr>
        <w:t xml:space="preserve">Podpora na organizáciu </w:t>
      </w:r>
    </w:p>
    <w:p w:rsidR="00625E24" w:rsidRPr="00AF421D" w:rsidRDefault="00625E24" w:rsidP="00FA6545">
      <w:pPr>
        <w:numPr>
          <w:ilvl w:val="0"/>
          <w:numId w:val="1"/>
        </w:numPr>
        <w:spacing w:after="0"/>
        <w:rPr>
          <w:rFonts w:ascii="Times New Roman" w:hAnsi="Times New Roman"/>
          <w:lang w:val="sk-SK"/>
        </w:rPr>
      </w:pPr>
      <w:r w:rsidRPr="00AF421D">
        <w:rPr>
          <w:rFonts w:ascii="Times New Roman" w:hAnsi="Times New Roman"/>
          <w:lang w:val="sk-SK"/>
        </w:rPr>
        <w:t xml:space="preserve">Príjemca je povinný uviesť v Mobility Tool dátumy začiatku a ukončenia stretnutia na každého účastníka. Ak je to potrebné, príjemca môže pridať jeden deň na cestu pred prvým </w:t>
      </w:r>
      <w:r w:rsidRPr="00AF421D">
        <w:rPr>
          <w:rFonts w:ascii="Times New Roman" w:hAnsi="Times New Roman"/>
          <w:lang w:val="sk-SK"/>
        </w:rPr>
        <w:lastRenderedPageBreak/>
        <w:t>dňom aktivity a jeden deň na cestu nasledujúcu po poslednom dni aktivity v zahraničí; tieto extra dni na cestu sa budú brať do úvahy pri vypočítaní organizačnej podpory.</w:t>
      </w:r>
    </w:p>
    <w:p w:rsidR="00625E24" w:rsidRPr="00AF421D" w:rsidRDefault="00625E24" w:rsidP="00FA6545">
      <w:pPr>
        <w:numPr>
          <w:ilvl w:val="0"/>
          <w:numId w:val="1"/>
        </w:numPr>
        <w:spacing w:after="0"/>
        <w:rPr>
          <w:rFonts w:ascii="Times New Roman" w:hAnsi="Times New Roman"/>
          <w:lang w:val="sk-SK"/>
        </w:rPr>
      </w:pPr>
      <w:r w:rsidRPr="00AF421D">
        <w:rPr>
          <w:rFonts w:ascii="Times New Roman" w:hAnsi="Times New Roman"/>
          <w:lang w:val="sk-SK"/>
        </w:rPr>
        <w:t>Mobility Tool podporí výpočet výšok grantu pre podporu na organizáciu.</w:t>
      </w:r>
    </w:p>
    <w:p w:rsidR="00625E24" w:rsidRPr="00AF421D" w:rsidRDefault="00625E24" w:rsidP="00FA6545">
      <w:pPr>
        <w:spacing w:after="0"/>
        <w:ind w:left="720"/>
        <w:rPr>
          <w:rFonts w:ascii="Times New Roman" w:hAnsi="Times New Roman"/>
          <w:lang w:val="sk-SK"/>
        </w:rPr>
      </w:pPr>
      <w:r w:rsidRPr="00AF421D">
        <w:rPr>
          <w:rFonts w:ascii="Times New Roman" w:hAnsi="Times New Roman"/>
          <w:lang w:val="sk-SK"/>
        </w:rPr>
        <w:t xml:space="preserve"> </w:t>
      </w:r>
    </w:p>
    <w:p w:rsidR="00AF421D" w:rsidRPr="00FA6545" w:rsidRDefault="00AF421D" w:rsidP="00FA6545">
      <w:pPr>
        <w:pStyle w:val="Odsekzoznamu"/>
        <w:numPr>
          <w:ilvl w:val="0"/>
          <w:numId w:val="10"/>
        </w:numPr>
        <w:spacing w:line="276" w:lineRule="auto"/>
        <w:jc w:val="both"/>
        <w:rPr>
          <w:rFonts w:ascii="Times New Roman" w:hAnsi="Times New Roman" w:cs="Times New Roman"/>
          <w:lang w:val="sk-SK"/>
        </w:rPr>
      </w:pPr>
      <w:r w:rsidRPr="00AF421D">
        <w:rPr>
          <w:rFonts w:ascii="Times New Roman" w:hAnsi="Times New Roman" w:cs="Times New Roman"/>
          <w:lang w:val="sk-SK"/>
        </w:rPr>
        <w:t>Podpora v prípade špeciálnych potrieb</w:t>
      </w:r>
    </w:p>
    <w:p w:rsidR="00625E24" w:rsidRPr="00AF421D" w:rsidRDefault="00625E24" w:rsidP="00FA6545">
      <w:pPr>
        <w:numPr>
          <w:ilvl w:val="0"/>
          <w:numId w:val="1"/>
        </w:numPr>
        <w:spacing w:after="0"/>
        <w:jc w:val="both"/>
        <w:rPr>
          <w:rFonts w:ascii="Times New Roman" w:hAnsi="Times New Roman"/>
          <w:lang w:val="sk-SK"/>
        </w:rPr>
      </w:pPr>
      <w:r w:rsidRPr="00AF421D">
        <w:rPr>
          <w:rFonts w:ascii="Times New Roman" w:hAnsi="Times New Roman"/>
          <w:lang w:val="sk-SK"/>
        </w:rPr>
        <w:t xml:space="preserve">Príjemca je povinný uviesť v Mobility Tool, či dodatočná grantová podpora pre špeciálne potreby bola poskytnutá niektorému z účastníkov so špeciálnymi potrebami. </w:t>
      </w:r>
    </w:p>
    <w:p w:rsidR="00625E24" w:rsidRPr="00AF421D" w:rsidRDefault="00625E24" w:rsidP="00FA6545">
      <w:pPr>
        <w:numPr>
          <w:ilvl w:val="0"/>
          <w:numId w:val="1"/>
        </w:numPr>
        <w:spacing w:after="0"/>
        <w:jc w:val="both"/>
        <w:rPr>
          <w:rFonts w:ascii="Times New Roman" w:hAnsi="Times New Roman"/>
          <w:lang w:val="sk-SK"/>
        </w:rPr>
      </w:pPr>
      <w:r w:rsidRPr="00AF421D">
        <w:rPr>
          <w:rFonts w:ascii="Times New Roman" w:hAnsi="Times New Roman"/>
          <w:lang w:val="sk-SK"/>
        </w:rPr>
        <w:t xml:space="preserve">V takom prípade je príjemca povinný uviesť v Mobility Tool typ  výdavkov, ako aj konkrétnu čiastku nákladov, ktoré vznikli. </w:t>
      </w:r>
    </w:p>
    <w:p w:rsidR="00625E24" w:rsidRPr="00AF421D" w:rsidRDefault="00625E24" w:rsidP="00FA6545">
      <w:pPr>
        <w:spacing w:after="0"/>
        <w:ind w:left="720"/>
        <w:rPr>
          <w:rFonts w:ascii="Times New Roman" w:hAnsi="Times New Roman"/>
          <w:lang w:val="sk-SK"/>
        </w:rPr>
      </w:pPr>
      <w:r w:rsidRPr="00AF421D">
        <w:rPr>
          <w:rFonts w:ascii="Times New Roman" w:hAnsi="Times New Roman"/>
          <w:lang w:val="sk-SK"/>
        </w:rPr>
        <w:t xml:space="preserve"> </w:t>
      </w:r>
    </w:p>
    <w:p w:rsidR="00625E24" w:rsidRPr="00AF421D" w:rsidRDefault="00AF421D" w:rsidP="00FA6545">
      <w:pPr>
        <w:numPr>
          <w:ilvl w:val="0"/>
          <w:numId w:val="10"/>
        </w:numPr>
        <w:spacing w:after="0"/>
        <w:rPr>
          <w:rFonts w:ascii="Times New Roman" w:hAnsi="Times New Roman"/>
          <w:lang w:val="sk-SK"/>
        </w:rPr>
      </w:pPr>
      <w:r w:rsidRPr="00AF421D">
        <w:rPr>
          <w:rFonts w:ascii="Times New Roman" w:hAnsi="Times New Roman"/>
          <w:lang w:val="sk-SK"/>
        </w:rPr>
        <w:t xml:space="preserve">Mimoriadne náklady </w:t>
      </w:r>
    </w:p>
    <w:p w:rsidR="00AF421D" w:rsidRPr="00FA6545" w:rsidRDefault="00625E24" w:rsidP="00FA6545">
      <w:pPr>
        <w:pStyle w:val="Odsekzoznamu"/>
        <w:numPr>
          <w:ilvl w:val="0"/>
          <w:numId w:val="24"/>
        </w:numPr>
        <w:spacing w:line="276" w:lineRule="auto"/>
        <w:rPr>
          <w:rFonts w:ascii="Times New Roman" w:hAnsi="Times New Roman" w:cs="Times New Roman"/>
          <w:lang w:val="sk-SK"/>
        </w:rPr>
      </w:pPr>
      <w:r w:rsidRPr="00AF421D">
        <w:rPr>
          <w:rFonts w:ascii="Times New Roman" w:hAnsi="Times New Roman" w:cs="Times New Roman"/>
          <w:lang w:val="sk-SK"/>
        </w:rPr>
        <w:t xml:space="preserve">Mimoriadne náklady môžu pokrývať iba náklady stanovené v článku II.16.4 zmluvy. </w:t>
      </w:r>
    </w:p>
    <w:p w:rsidR="00625E24" w:rsidRPr="00AF421D" w:rsidRDefault="00625E24" w:rsidP="00FA6545">
      <w:pPr>
        <w:numPr>
          <w:ilvl w:val="0"/>
          <w:numId w:val="1"/>
        </w:numPr>
        <w:spacing w:after="0"/>
        <w:rPr>
          <w:rFonts w:ascii="Times New Roman" w:hAnsi="Times New Roman"/>
          <w:lang w:val="sk-SK"/>
        </w:rPr>
      </w:pPr>
      <w:r w:rsidRPr="00AF421D">
        <w:rPr>
          <w:rFonts w:ascii="Times New Roman" w:hAnsi="Times New Roman"/>
          <w:lang w:val="sk-SK"/>
        </w:rPr>
        <w:t>Príjemca je povinný uviesť v Mobility Tool typ výdavkov a aktuálne náklady, ktoré vznikli pri mimoriadnych nákladoch</w:t>
      </w:r>
    </w:p>
    <w:p w:rsidR="00625E24" w:rsidRPr="00AF421D" w:rsidRDefault="00625E24" w:rsidP="00FA6545">
      <w:pPr>
        <w:numPr>
          <w:ilvl w:val="0"/>
          <w:numId w:val="1"/>
        </w:numPr>
        <w:spacing w:after="0"/>
        <w:jc w:val="both"/>
        <w:rPr>
          <w:rFonts w:ascii="Times New Roman" w:hAnsi="Times New Roman"/>
          <w:lang w:val="sk-SK"/>
        </w:rPr>
      </w:pPr>
      <w:r w:rsidRPr="00AF421D">
        <w:rPr>
          <w:rFonts w:ascii="Times New Roman" w:hAnsi="Times New Roman"/>
          <w:lang w:val="sk-SK"/>
        </w:rPr>
        <w:t xml:space="preserve">V prípade mimoriadnych nákladov sa od príjemcu požaduje, aby poskytol všetky podporné dokumenty vo fáze záverečnej správy. </w:t>
      </w:r>
    </w:p>
    <w:p w:rsidR="00625E24" w:rsidRPr="00AF421D" w:rsidRDefault="00625E24" w:rsidP="00FA6545">
      <w:pPr>
        <w:spacing w:after="0"/>
        <w:rPr>
          <w:rFonts w:ascii="Times New Roman" w:hAnsi="Times New Roman"/>
          <w:lang w:val="sk-SK"/>
        </w:rPr>
      </w:pPr>
    </w:p>
    <w:p w:rsidR="00625E24" w:rsidRPr="00AF421D" w:rsidRDefault="00625E24" w:rsidP="00FA6545">
      <w:pPr>
        <w:spacing w:after="0"/>
        <w:rPr>
          <w:rFonts w:ascii="Times New Roman" w:hAnsi="Times New Roman"/>
          <w:u w:val="single"/>
          <w:lang w:val="sk-SK"/>
        </w:rPr>
      </w:pPr>
      <w:r w:rsidRPr="00AF421D">
        <w:rPr>
          <w:rFonts w:ascii="Times New Roman" w:hAnsi="Times New Roman"/>
          <w:u w:val="single"/>
          <w:lang w:val="sk-SK"/>
        </w:rPr>
        <w:t xml:space="preserve">B. </w:t>
      </w:r>
      <w:r w:rsidR="00AF421D" w:rsidRPr="00AF421D">
        <w:rPr>
          <w:rFonts w:ascii="Times New Roman" w:hAnsi="Times New Roman"/>
          <w:sz w:val="24"/>
          <w:szCs w:val="24"/>
          <w:u w:val="single"/>
          <w:lang w:val="sk-SK"/>
        </w:rPr>
        <w:t xml:space="preserve">Krátenie grantu pri slabej, čiastočnej alebo neskorej realizácii </w:t>
      </w:r>
    </w:p>
    <w:p w:rsidR="00625E24" w:rsidRPr="00AF421D" w:rsidRDefault="00625E24" w:rsidP="00FA6545">
      <w:pPr>
        <w:numPr>
          <w:ilvl w:val="0"/>
          <w:numId w:val="1"/>
        </w:numPr>
        <w:spacing w:after="0"/>
        <w:jc w:val="both"/>
        <w:rPr>
          <w:rFonts w:ascii="Times New Roman" w:hAnsi="Times New Roman"/>
          <w:lang w:val="sk-SK"/>
        </w:rPr>
      </w:pPr>
      <w:r w:rsidRPr="00AF421D">
        <w:rPr>
          <w:rFonts w:ascii="Times New Roman" w:hAnsi="Times New Roman"/>
          <w:lang w:val="sk-SK"/>
        </w:rPr>
        <w:t>Slabá, čiastočná alebo neskorá realizácia projektu bude stanovená NA na základe záverečnej správy podanej príjemcom.</w:t>
      </w:r>
    </w:p>
    <w:p w:rsidR="00625E24" w:rsidRPr="00AF421D" w:rsidRDefault="00625E24" w:rsidP="00FA6545">
      <w:pPr>
        <w:numPr>
          <w:ilvl w:val="0"/>
          <w:numId w:val="1"/>
        </w:numPr>
        <w:spacing w:after="0"/>
        <w:jc w:val="both"/>
        <w:rPr>
          <w:rFonts w:ascii="Times New Roman" w:hAnsi="Times New Roman"/>
          <w:lang w:val="sk-SK"/>
        </w:rPr>
      </w:pPr>
      <w:r w:rsidRPr="00AF421D">
        <w:rPr>
          <w:rFonts w:ascii="Times New Roman" w:hAnsi="Times New Roman"/>
          <w:lang w:val="sk-SK"/>
        </w:rPr>
        <w:t xml:space="preserve">NA môže vziať do úvahy tiež informácie, ktoré získala z akéhokoľvek iného zdroja, ktoré potvrdzujú, že projekt nie je realizovaný v súlade so zmluvnými ustanoveniami. Medzi iné zdroje informácií môžu patriť monitorovacie návštevy, hĺbkové kontroly alebo kontroly na mieste, ktoré vykoná NA. </w:t>
      </w:r>
    </w:p>
    <w:p w:rsidR="00625E24" w:rsidRPr="00AF421D" w:rsidRDefault="00625E24" w:rsidP="00FA6545">
      <w:pPr>
        <w:numPr>
          <w:ilvl w:val="0"/>
          <w:numId w:val="2"/>
        </w:numPr>
        <w:spacing w:after="0"/>
        <w:jc w:val="both"/>
        <w:rPr>
          <w:rFonts w:ascii="Times New Roman" w:hAnsi="Times New Roman"/>
          <w:sz w:val="24"/>
          <w:szCs w:val="24"/>
          <w:lang w:val="sk-SK"/>
        </w:rPr>
      </w:pPr>
      <w:r w:rsidRPr="00AF421D">
        <w:rPr>
          <w:rFonts w:ascii="Times New Roman" w:hAnsi="Times New Roman"/>
          <w:sz w:val="24"/>
          <w:szCs w:val="24"/>
          <w:lang w:val="sk-SK"/>
        </w:rPr>
        <w:t xml:space="preserve">Záverečná správa bude hodnotená na základe kvalitatívnych kritérií a bodovaná na celkovej stupnici maximálne 100 bodov. Ak je záverečná správa ohodnotená celkovo menej ako 50 bodov, NA skráti čiastku záverečného grantu na základe slabej, čiastočnej alebo neskorej realizácie projektu, aj keď všetky aktivity, o ktorých podá príjemca správu, budú oprávnené a skutočne sa zrealizovali. </w:t>
      </w:r>
    </w:p>
    <w:p w:rsidR="00625E24" w:rsidRPr="00AF421D" w:rsidRDefault="00625E24" w:rsidP="00FA6545">
      <w:pPr>
        <w:numPr>
          <w:ilvl w:val="0"/>
          <w:numId w:val="2"/>
        </w:numPr>
        <w:spacing w:after="0"/>
        <w:jc w:val="both"/>
        <w:rPr>
          <w:rFonts w:ascii="Times New Roman" w:hAnsi="Times New Roman"/>
          <w:sz w:val="24"/>
          <w:szCs w:val="24"/>
          <w:lang w:val="sk-SK"/>
        </w:rPr>
      </w:pPr>
      <w:r w:rsidRPr="00AF421D">
        <w:rPr>
          <w:rFonts w:ascii="Times New Roman" w:hAnsi="Times New Roman"/>
          <w:sz w:val="24"/>
          <w:szCs w:val="24"/>
          <w:lang w:val="sk-SK"/>
        </w:rPr>
        <w:t xml:space="preserve">Záverečná správa bude hodnotená, na základe súboru kritérií kvality zameraných na: </w:t>
      </w:r>
    </w:p>
    <w:p w:rsidR="00625E24" w:rsidRPr="00AF421D" w:rsidRDefault="00270551" w:rsidP="00FA6545">
      <w:pPr>
        <w:numPr>
          <w:ilvl w:val="1"/>
          <w:numId w:val="2"/>
        </w:numPr>
        <w:spacing w:after="0"/>
        <w:jc w:val="both"/>
        <w:rPr>
          <w:rFonts w:ascii="Times New Roman" w:hAnsi="Times New Roman"/>
          <w:sz w:val="24"/>
          <w:szCs w:val="24"/>
          <w:lang w:val="sk-SK"/>
        </w:rPr>
      </w:pPr>
      <w:r>
        <w:rPr>
          <w:rFonts w:ascii="Times New Roman" w:hAnsi="Times New Roman"/>
          <w:sz w:val="24"/>
          <w:szCs w:val="24"/>
          <w:lang w:val="sk-SK"/>
        </w:rPr>
        <w:t>M</w:t>
      </w:r>
      <w:r w:rsidR="00625E24" w:rsidRPr="00AF421D">
        <w:rPr>
          <w:rFonts w:ascii="Times New Roman" w:hAnsi="Times New Roman"/>
          <w:sz w:val="24"/>
          <w:szCs w:val="24"/>
          <w:lang w:val="sk-SK"/>
        </w:rPr>
        <w:t xml:space="preserve">ieru, do akej bola akcia realizovaná v súlade </w:t>
      </w:r>
      <w:r>
        <w:rPr>
          <w:rFonts w:ascii="Times New Roman" w:hAnsi="Times New Roman"/>
          <w:sz w:val="24"/>
          <w:szCs w:val="24"/>
          <w:lang w:val="sk-SK"/>
        </w:rPr>
        <w:t>so schválenou žiadosťou o grant</w:t>
      </w:r>
      <w:r w:rsidR="00625E24" w:rsidRPr="00AF421D">
        <w:rPr>
          <w:rFonts w:ascii="Times New Roman" w:hAnsi="Times New Roman"/>
          <w:sz w:val="24"/>
          <w:szCs w:val="24"/>
          <w:lang w:val="sk-SK"/>
        </w:rPr>
        <w:t xml:space="preserve"> </w:t>
      </w:r>
    </w:p>
    <w:p w:rsidR="00625E24" w:rsidRPr="00AF421D" w:rsidRDefault="00625E24" w:rsidP="00FA6545">
      <w:pPr>
        <w:numPr>
          <w:ilvl w:val="0"/>
          <w:numId w:val="25"/>
        </w:numPr>
        <w:spacing w:after="0"/>
        <w:rPr>
          <w:rFonts w:ascii="Times New Roman" w:hAnsi="Times New Roman"/>
          <w:lang w:val="sk-SK"/>
        </w:rPr>
      </w:pPr>
      <w:r w:rsidRPr="00AF421D">
        <w:rPr>
          <w:rFonts w:ascii="Times New Roman" w:hAnsi="Times New Roman"/>
          <w:lang w:val="sk-SK"/>
        </w:rPr>
        <w:t>Kvalita participatívnych metód neformálneho vzdelávania a zapojenie mladých ľudí počas všetkých fáz projektu</w:t>
      </w:r>
    </w:p>
    <w:p w:rsidR="00625E24" w:rsidRPr="00AF421D" w:rsidRDefault="00625E24" w:rsidP="00FA6545">
      <w:pPr>
        <w:numPr>
          <w:ilvl w:val="1"/>
          <w:numId w:val="2"/>
        </w:numPr>
        <w:spacing w:after="0"/>
        <w:jc w:val="both"/>
        <w:rPr>
          <w:rFonts w:ascii="Times New Roman" w:hAnsi="Times New Roman"/>
          <w:sz w:val="24"/>
          <w:szCs w:val="24"/>
          <w:lang w:val="sk-SK"/>
        </w:rPr>
      </w:pPr>
      <w:r w:rsidRPr="00AF421D">
        <w:rPr>
          <w:rFonts w:ascii="Times New Roman" w:hAnsi="Times New Roman"/>
          <w:sz w:val="24"/>
          <w:szCs w:val="24"/>
          <w:lang w:val="sk-SK"/>
        </w:rPr>
        <w:t>Dopad na účastníkov a na zapojené organizácie</w:t>
      </w:r>
    </w:p>
    <w:p w:rsidR="00625E24" w:rsidRPr="00AF421D" w:rsidRDefault="00625E24" w:rsidP="00FA6545">
      <w:pPr>
        <w:numPr>
          <w:ilvl w:val="0"/>
          <w:numId w:val="25"/>
        </w:numPr>
        <w:spacing w:after="0"/>
        <w:rPr>
          <w:rFonts w:ascii="Times New Roman" w:hAnsi="Times New Roman"/>
          <w:lang w:val="sk-SK"/>
        </w:rPr>
      </w:pPr>
      <w:r w:rsidRPr="00AF421D">
        <w:rPr>
          <w:rFonts w:ascii="Times New Roman" w:hAnsi="Times New Roman"/>
          <w:sz w:val="24"/>
          <w:szCs w:val="24"/>
          <w:lang w:val="sk-SK"/>
        </w:rPr>
        <w:t>Kvalita praktických opatrení, riadenie a podporných modalít</w:t>
      </w:r>
    </w:p>
    <w:p w:rsidR="00625E24" w:rsidRPr="00AF421D" w:rsidRDefault="00625E24" w:rsidP="00FA6545">
      <w:pPr>
        <w:numPr>
          <w:ilvl w:val="1"/>
          <w:numId w:val="2"/>
        </w:numPr>
        <w:spacing w:after="0"/>
        <w:rPr>
          <w:rFonts w:ascii="Times New Roman" w:hAnsi="Times New Roman"/>
          <w:lang w:val="sk-SK"/>
        </w:rPr>
      </w:pPr>
      <w:r w:rsidRPr="00AF421D">
        <w:rPr>
          <w:rFonts w:ascii="Times New Roman" w:hAnsi="Times New Roman"/>
          <w:lang w:val="sk-SK"/>
        </w:rPr>
        <w:t>Kvalita a rozsah šírenia výsledkov</w:t>
      </w:r>
    </w:p>
    <w:p w:rsidR="00625E24" w:rsidRPr="00AF421D" w:rsidRDefault="00625E24" w:rsidP="00FA6545">
      <w:pPr>
        <w:spacing w:after="0"/>
        <w:rPr>
          <w:rFonts w:ascii="Times New Roman" w:hAnsi="Times New Roman"/>
          <w:lang w:val="sk-SK"/>
        </w:rPr>
      </w:pPr>
    </w:p>
    <w:p w:rsidR="00625E24" w:rsidRPr="00AF421D" w:rsidRDefault="00625E24" w:rsidP="00FA6545">
      <w:pPr>
        <w:numPr>
          <w:ilvl w:val="0"/>
          <w:numId w:val="2"/>
        </w:numPr>
        <w:spacing w:after="0"/>
        <w:jc w:val="both"/>
        <w:rPr>
          <w:rFonts w:ascii="Times New Roman" w:hAnsi="Times New Roman"/>
          <w:sz w:val="24"/>
          <w:szCs w:val="24"/>
          <w:lang w:val="sk-SK"/>
        </w:rPr>
      </w:pPr>
      <w:r w:rsidRPr="00AF421D">
        <w:rPr>
          <w:rFonts w:ascii="Times New Roman" w:hAnsi="Times New Roman"/>
          <w:sz w:val="24"/>
          <w:szCs w:val="24"/>
          <w:lang w:val="sk-SK"/>
        </w:rPr>
        <w:t>Krátenie grantu založené na slabej, čiastočnej alebo neskorej realizácii bude uplatnené na výšku celkového záverečného grantu na podporu na organizáciu a mimoriadne náklady a bude vo výške:</w:t>
      </w:r>
    </w:p>
    <w:p w:rsidR="00625E24" w:rsidRPr="00AF421D" w:rsidRDefault="00625E24" w:rsidP="00FA6545">
      <w:pPr>
        <w:numPr>
          <w:ilvl w:val="1"/>
          <w:numId w:val="2"/>
        </w:numPr>
        <w:spacing w:after="0"/>
        <w:jc w:val="both"/>
        <w:rPr>
          <w:rFonts w:ascii="Times New Roman" w:hAnsi="Times New Roman"/>
          <w:sz w:val="24"/>
          <w:szCs w:val="24"/>
          <w:lang w:val="sk-SK"/>
        </w:rPr>
      </w:pPr>
      <w:r w:rsidRPr="00AF421D">
        <w:rPr>
          <w:rFonts w:ascii="Times New Roman" w:hAnsi="Times New Roman"/>
          <w:sz w:val="24"/>
          <w:szCs w:val="24"/>
          <w:lang w:val="sk-SK"/>
        </w:rPr>
        <w:t>25%, ak bodové hodnotenie záverečnej správy bude medzi 41 a 50 bodov vrátane;</w:t>
      </w:r>
    </w:p>
    <w:p w:rsidR="00625E24" w:rsidRPr="00AF421D" w:rsidRDefault="00625E24" w:rsidP="00FA6545">
      <w:pPr>
        <w:numPr>
          <w:ilvl w:val="1"/>
          <w:numId w:val="2"/>
        </w:numPr>
        <w:spacing w:after="0"/>
        <w:jc w:val="both"/>
        <w:rPr>
          <w:rFonts w:ascii="Times New Roman" w:hAnsi="Times New Roman"/>
          <w:sz w:val="24"/>
          <w:szCs w:val="24"/>
          <w:lang w:val="sk-SK"/>
        </w:rPr>
      </w:pPr>
      <w:r w:rsidRPr="00AF421D">
        <w:rPr>
          <w:rFonts w:ascii="Times New Roman" w:hAnsi="Times New Roman"/>
          <w:sz w:val="24"/>
          <w:szCs w:val="24"/>
          <w:lang w:val="sk-SK"/>
        </w:rPr>
        <w:t xml:space="preserve">50%, ak bodové hodnotenie záverečnej správy bude medzi 26 a 40 bodov vrátane; </w:t>
      </w:r>
    </w:p>
    <w:p w:rsidR="00625E24" w:rsidRPr="00AF421D" w:rsidRDefault="00625E24" w:rsidP="00FA6545">
      <w:pPr>
        <w:numPr>
          <w:ilvl w:val="1"/>
          <w:numId w:val="2"/>
        </w:numPr>
        <w:spacing w:after="0"/>
        <w:jc w:val="both"/>
        <w:rPr>
          <w:rFonts w:ascii="Times New Roman" w:hAnsi="Times New Roman"/>
          <w:sz w:val="24"/>
          <w:szCs w:val="24"/>
          <w:lang w:val="sk-SK"/>
        </w:rPr>
      </w:pPr>
      <w:r w:rsidRPr="00AF421D">
        <w:rPr>
          <w:rFonts w:ascii="Times New Roman" w:hAnsi="Times New Roman"/>
          <w:sz w:val="24"/>
          <w:szCs w:val="24"/>
          <w:lang w:val="sk-SK"/>
        </w:rPr>
        <w:lastRenderedPageBreak/>
        <w:t xml:space="preserve">75%, ak bodové hodnotenie záverečnej správy bude medzi 0 a 25 bodov vrátane. </w:t>
      </w:r>
    </w:p>
    <w:p w:rsidR="00FA6545" w:rsidRDefault="00FA6545" w:rsidP="00FA6545">
      <w:pPr>
        <w:spacing w:after="0"/>
        <w:jc w:val="both"/>
        <w:rPr>
          <w:rFonts w:ascii="Times New Roman" w:hAnsi="Times New Roman"/>
        </w:rPr>
      </w:pPr>
    </w:p>
    <w:p w:rsidR="00FA6545" w:rsidRDefault="00FA6545" w:rsidP="00FA6545">
      <w:pPr>
        <w:spacing w:after="0"/>
        <w:jc w:val="both"/>
        <w:rPr>
          <w:rFonts w:ascii="Times New Roman" w:hAnsi="Times New Roman"/>
        </w:rPr>
      </w:pPr>
    </w:p>
    <w:p w:rsidR="005C1EFB" w:rsidRPr="00FA6545" w:rsidRDefault="005C1EFB" w:rsidP="00FA6545">
      <w:pPr>
        <w:spacing w:after="0"/>
        <w:jc w:val="both"/>
        <w:rPr>
          <w:rFonts w:ascii="Times New Roman" w:hAnsi="Times New Roman"/>
          <w:sz w:val="24"/>
          <w:szCs w:val="24"/>
          <w:lang w:val="sk-SK"/>
        </w:rPr>
      </w:pPr>
      <w:bookmarkStart w:id="0" w:name="_GoBack"/>
      <w:bookmarkEnd w:id="0"/>
      <w:r w:rsidRPr="00182246">
        <w:rPr>
          <w:rFonts w:ascii="Times New Roman" w:hAnsi="Times New Roman"/>
          <w:b/>
          <w:sz w:val="24"/>
          <w:szCs w:val="24"/>
          <w:lang w:val="sk-SK"/>
        </w:rPr>
        <w:t xml:space="preserve">III. Sadzby platné pre jednotkové náklady </w:t>
      </w:r>
    </w:p>
    <w:p w:rsidR="00FA6545" w:rsidRDefault="00FA6545" w:rsidP="005C1EFB">
      <w:pPr>
        <w:rPr>
          <w:rFonts w:ascii="Times New Roman" w:hAnsi="Times New Roman"/>
          <w:b/>
          <w:sz w:val="24"/>
          <w:szCs w:val="24"/>
          <w:lang w:val="sk-SK"/>
        </w:rPr>
      </w:pPr>
      <w:r w:rsidRPr="00AF421D">
        <w:rPr>
          <w:rFonts w:ascii="Times New Roman" w:hAnsi="Times New Roman"/>
          <w:b/>
          <w:sz w:val="24"/>
          <w:szCs w:val="24"/>
          <w:lang w:val="sk-SK"/>
        </w:rPr>
        <w:t xml:space="preserve">Kľúčová akcia 3 </w:t>
      </w:r>
    </w:p>
    <w:p w:rsidR="005C1EFB" w:rsidRPr="00FC3B13" w:rsidRDefault="005C1EFB" w:rsidP="005C1EFB">
      <w:pPr>
        <w:rPr>
          <w:rFonts w:ascii="Times New Roman" w:eastAsia="SimSun" w:hAnsi="Times New Roman"/>
          <w:b/>
          <w:snapToGrid w:val="0"/>
          <w:kern w:val="3"/>
          <w:sz w:val="24"/>
          <w:szCs w:val="24"/>
          <w:lang w:val="sk-SK" w:eastAsia="zh-CN"/>
        </w:rPr>
      </w:pPr>
      <w:r w:rsidRPr="00FC3B13">
        <w:rPr>
          <w:rFonts w:ascii="Times New Roman" w:eastAsia="SimSun" w:hAnsi="Times New Roman"/>
          <w:b/>
          <w:snapToGrid w:val="0"/>
          <w:kern w:val="3"/>
          <w:sz w:val="24"/>
          <w:szCs w:val="24"/>
          <w:lang w:eastAsia="zh-CN"/>
        </w:rPr>
        <w:t xml:space="preserve">1. </w:t>
      </w:r>
      <w:r w:rsidR="004A3A12" w:rsidRPr="00FC3B13">
        <w:rPr>
          <w:rFonts w:ascii="Times New Roman" w:eastAsia="SimSun" w:hAnsi="Times New Roman"/>
          <w:b/>
          <w:snapToGrid w:val="0"/>
          <w:kern w:val="3"/>
          <w:sz w:val="24"/>
          <w:szCs w:val="24"/>
          <w:lang w:val="sk-SK" w:eastAsia="zh-CN"/>
        </w:rPr>
        <w:t>Cesta</w:t>
      </w:r>
    </w:p>
    <w:tbl>
      <w:tblPr>
        <w:tblW w:w="24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393"/>
      </w:tblGrid>
      <w:tr w:rsidR="005C1EFB" w:rsidRPr="00FC3B13" w:rsidTr="00AA71B8">
        <w:trPr>
          <w:trHeight w:val="580"/>
        </w:trPr>
        <w:tc>
          <w:tcPr>
            <w:tcW w:w="5000" w:type="pct"/>
            <w:vAlign w:val="center"/>
          </w:tcPr>
          <w:p w:rsidR="005C1EFB" w:rsidRPr="00FC3B13" w:rsidRDefault="004A3A12" w:rsidP="00AA71B8">
            <w:pPr>
              <w:widowControl w:val="0"/>
              <w:suppressAutoHyphens/>
              <w:autoSpaceDN w:val="0"/>
              <w:spacing w:after="0" w:line="240" w:lineRule="auto"/>
              <w:textAlignment w:val="baseline"/>
              <w:rPr>
                <w:rFonts w:ascii="Times New Roman" w:eastAsia="SimSun" w:hAnsi="Times New Roman"/>
                <w:snapToGrid w:val="0"/>
                <w:kern w:val="3"/>
                <w:sz w:val="24"/>
                <w:szCs w:val="24"/>
                <w:bdr w:val="single" w:sz="4" w:space="0" w:color="auto"/>
                <w:lang w:val="sk-SK" w:eastAsia="zh-CN"/>
              </w:rPr>
            </w:pPr>
            <w:r w:rsidRPr="00FC3B13">
              <w:rPr>
                <w:rFonts w:ascii="Times New Roman" w:eastAsia="SimSun" w:hAnsi="Times New Roman"/>
                <w:snapToGrid w:val="0"/>
                <w:kern w:val="3"/>
                <w:sz w:val="24"/>
                <w:szCs w:val="24"/>
                <w:lang w:val="sk-SK" w:eastAsia="zh-CN"/>
              </w:rPr>
              <w:t xml:space="preserve">cestovné vzdialenosti od 10 do 99 km: 20 EUR na jedného účastníka </w:t>
            </w:r>
          </w:p>
        </w:tc>
      </w:tr>
      <w:tr w:rsidR="005C1EFB" w:rsidRPr="00FC3B13" w:rsidTr="00AA71B8">
        <w:trPr>
          <w:trHeight w:val="700"/>
        </w:trPr>
        <w:tc>
          <w:tcPr>
            <w:tcW w:w="5000" w:type="pct"/>
            <w:vAlign w:val="center"/>
          </w:tcPr>
          <w:p w:rsidR="005C1EFB" w:rsidRPr="00FC3B13" w:rsidRDefault="004A3A12" w:rsidP="00AA71B8">
            <w:pPr>
              <w:widowControl w:val="0"/>
              <w:suppressAutoHyphens/>
              <w:autoSpaceDN w:val="0"/>
              <w:spacing w:after="0" w:line="240" w:lineRule="auto"/>
              <w:textAlignment w:val="baseline"/>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cestovné vzdialenosti od 100 do 499 km: 80 EUR na jedného účastníka</w:t>
            </w:r>
          </w:p>
        </w:tc>
      </w:tr>
      <w:tr w:rsidR="005C1EFB" w:rsidRPr="00FC3B13" w:rsidTr="00AA71B8">
        <w:trPr>
          <w:trHeight w:val="569"/>
        </w:trPr>
        <w:tc>
          <w:tcPr>
            <w:tcW w:w="5000" w:type="pct"/>
            <w:vAlign w:val="center"/>
          </w:tcPr>
          <w:p w:rsidR="005C1EFB" w:rsidRPr="00FC3B13" w:rsidRDefault="004A3A12" w:rsidP="004A3A12">
            <w:pPr>
              <w:widowControl w:val="0"/>
              <w:suppressAutoHyphens/>
              <w:autoSpaceDN w:val="0"/>
              <w:spacing w:after="0" w:line="240" w:lineRule="auto"/>
              <w:textAlignment w:val="baseline"/>
              <w:rPr>
                <w:rFonts w:ascii="Times New Roman" w:eastAsia="SimSun" w:hAnsi="Times New Roman"/>
                <w:snapToGrid w:val="0"/>
                <w:kern w:val="3"/>
                <w:sz w:val="24"/>
                <w:szCs w:val="24"/>
                <w:bdr w:val="single" w:sz="4" w:space="0" w:color="auto"/>
                <w:lang w:val="sk-SK" w:eastAsia="zh-CN"/>
              </w:rPr>
            </w:pPr>
            <w:r w:rsidRPr="00FC3B13">
              <w:rPr>
                <w:rFonts w:ascii="Times New Roman" w:eastAsia="SimSun" w:hAnsi="Times New Roman"/>
                <w:snapToGrid w:val="0"/>
                <w:kern w:val="3"/>
                <w:sz w:val="24"/>
                <w:szCs w:val="24"/>
                <w:lang w:val="sk-SK" w:eastAsia="zh-CN"/>
              </w:rPr>
              <w:t>cestovné vzdialenosti od 500 do 1 999 km: 170 EUR na jedného účastníka</w:t>
            </w:r>
          </w:p>
        </w:tc>
      </w:tr>
      <w:tr w:rsidR="005C1EFB" w:rsidRPr="00FC3B13" w:rsidTr="00AA71B8">
        <w:trPr>
          <w:trHeight w:val="572"/>
        </w:trPr>
        <w:tc>
          <w:tcPr>
            <w:tcW w:w="5000" w:type="pct"/>
            <w:vAlign w:val="center"/>
          </w:tcPr>
          <w:p w:rsidR="005C1EFB" w:rsidRPr="00FC3B13" w:rsidRDefault="004A3A12" w:rsidP="004A3A12">
            <w:pPr>
              <w:widowControl w:val="0"/>
              <w:suppressAutoHyphens/>
              <w:autoSpaceDN w:val="0"/>
              <w:spacing w:after="0" w:line="240" w:lineRule="auto"/>
              <w:textAlignment w:val="baseline"/>
              <w:rPr>
                <w:rFonts w:ascii="Times New Roman" w:eastAsia="SimSun" w:hAnsi="Times New Roman"/>
                <w:snapToGrid w:val="0"/>
                <w:kern w:val="3"/>
                <w:sz w:val="24"/>
                <w:szCs w:val="24"/>
                <w:bdr w:val="single" w:sz="4" w:space="0" w:color="auto"/>
                <w:lang w:val="sk-SK" w:eastAsia="zh-CN"/>
              </w:rPr>
            </w:pPr>
            <w:r w:rsidRPr="00FC3B13">
              <w:rPr>
                <w:rFonts w:ascii="Times New Roman" w:eastAsia="SimSun" w:hAnsi="Times New Roman"/>
                <w:snapToGrid w:val="0"/>
                <w:kern w:val="3"/>
                <w:sz w:val="24"/>
                <w:szCs w:val="24"/>
                <w:lang w:val="sk-SK" w:eastAsia="zh-CN"/>
              </w:rPr>
              <w:t>cestovné vzdialenosti od 2 000 do 2 999 km: 270 EUR na jedného účastníka</w:t>
            </w:r>
          </w:p>
        </w:tc>
      </w:tr>
      <w:tr w:rsidR="005C1EFB" w:rsidRPr="00FC3B13" w:rsidTr="00AA71B8">
        <w:trPr>
          <w:trHeight w:val="615"/>
        </w:trPr>
        <w:tc>
          <w:tcPr>
            <w:tcW w:w="5000" w:type="pct"/>
            <w:vAlign w:val="center"/>
          </w:tcPr>
          <w:p w:rsidR="005C1EFB" w:rsidRPr="00FC3B13" w:rsidRDefault="004A3A12" w:rsidP="004A3A12">
            <w:pPr>
              <w:widowControl w:val="0"/>
              <w:suppressAutoHyphens/>
              <w:autoSpaceDN w:val="0"/>
              <w:spacing w:after="0" w:line="240" w:lineRule="auto"/>
              <w:textAlignment w:val="baseline"/>
              <w:rPr>
                <w:rFonts w:ascii="Times New Roman" w:eastAsia="SimSun" w:hAnsi="Times New Roman"/>
                <w:snapToGrid w:val="0"/>
                <w:kern w:val="3"/>
                <w:sz w:val="24"/>
                <w:szCs w:val="24"/>
                <w:bdr w:val="single" w:sz="4" w:space="0" w:color="auto"/>
                <w:lang w:val="sk-SK" w:eastAsia="zh-CN"/>
              </w:rPr>
            </w:pPr>
            <w:r w:rsidRPr="00FC3B13">
              <w:rPr>
                <w:rFonts w:ascii="Times New Roman" w:eastAsia="SimSun" w:hAnsi="Times New Roman"/>
                <w:snapToGrid w:val="0"/>
                <w:kern w:val="3"/>
                <w:sz w:val="24"/>
                <w:szCs w:val="24"/>
                <w:lang w:val="sk-SK" w:eastAsia="zh-CN"/>
              </w:rPr>
              <w:t>cestovné vzdialenosti od 3 000 do 3 999 km: 400 EUR na jedného účastníka</w:t>
            </w:r>
          </w:p>
        </w:tc>
      </w:tr>
      <w:tr w:rsidR="005C1EFB" w:rsidRPr="00FC3B13" w:rsidTr="00AA71B8">
        <w:trPr>
          <w:trHeight w:val="657"/>
        </w:trPr>
        <w:tc>
          <w:tcPr>
            <w:tcW w:w="5000" w:type="pct"/>
            <w:vAlign w:val="center"/>
          </w:tcPr>
          <w:p w:rsidR="005C1EFB" w:rsidRPr="00FC3B13" w:rsidRDefault="004A3A12" w:rsidP="004A3A12">
            <w:pPr>
              <w:widowControl w:val="0"/>
              <w:suppressAutoHyphens/>
              <w:autoSpaceDN w:val="0"/>
              <w:spacing w:after="0" w:line="240" w:lineRule="auto"/>
              <w:textAlignment w:val="baseline"/>
              <w:rPr>
                <w:rFonts w:ascii="Times New Roman" w:eastAsia="SimSun" w:hAnsi="Times New Roman"/>
                <w:snapToGrid w:val="0"/>
                <w:kern w:val="3"/>
                <w:sz w:val="24"/>
                <w:szCs w:val="24"/>
                <w:bdr w:val="single" w:sz="4" w:space="0" w:color="auto"/>
                <w:lang w:val="sk-SK" w:eastAsia="zh-CN"/>
              </w:rPr>
            </w:pPr>
            <w:r w:rsidRPr="00FC3B13">
              <w:rPr>
                <w:rFonts w:ascii="Times New Roman" w:eastAsia="SimSun" w:hAnsi="Times New Roman"/>
                <w:snapToGrid w:val="0"/>
                <w:kern w:val="3"/>
                <w:sz w:val="24"/>
                <w:szCs w:val="24"/>
                <w:lang w:val="sk-SK" w:eastAsia="zh-CN"/>
              </w:rPr>
              <w:t>cestovné vzdialenosti od 4 000 do 7 999 km: 620 EUR na jedného účastníka</w:t>
            </w:r>
          </w:p>
        </w:tc>
      </w:tr>
      <w:tr w:rsidR="005C1EFB" w:rsidRPr="00FC3B13" w:rsidTr="00AA71B8">
        <w:trPr>
          <w:trHeight w:val="442"/>
        </w:trPr>
        <w:tc>
          <w:tcPr>
            <w:tcW w:w="5000" w:type="pct"/>
            <w:tcBorders>
              <w:top w:val="single" w:sz="4" w:space="0" w:color="auto"/>
              <w:bottom w:val="single" w:sz="4" w:space="0" w:color="auto"/>
            </w:tcBorders>
            <w:vAlign w:val="center"/>
          </w:tcPr>
          <w:p w:rsidR="005C1EFB" w:rsidRPr="00FC3B13" w:rsidRDefault="004A3A12" w:rsidP="004A3A12">
            <w:pPr>
              <w:widowControl w:val="0"/>
              <w:suppressAutoHyphens/>
              <w:autoSpaceDN w:val="0"/>
              <w:spacing w:after="0" w:line="240" w:lineRule="auto"/>
              <w:textAlignment w:val="baseline"/>
              <w:rPr>
                <w:rFonts w:ascii="Times New Roman" w:eastAsia="SimSun" w:hAnsi="Times New Roman"/>
                <w:snapToGrid w:val="0"/>
                <w:kern w:val="3"/>
                <w:sz w:val="24"/>
                <w:szCs w:val="24"/>
                <w:bdr w:val="single" w:sz="4" w:space="0" w:color="auto"/>
                <w:lang w:val="sk-SK" w:eastAsia="zh-CN"/>
              </w:rPr>
            </w:pPr>
            <w:r w:rsidRPr="00FC3B13">
              <w:rPr>
                <w:rFonts w:ascii="Times New Roman" w:eastAsia="SimSun" w:hAnsi="Times New Roman"/>
                <w:snapToGrid w:val="0"/>
                <w:kern w:val="3"/>
                <w:sz w:val="24"/>
                <w:szCs w:val="24"/>
                <w:lang w:val="sk-SK" w:eastAsia="zh-CN"/>
              </w:rPr>
              <w:t>cestovné vzdialenosti 8 0000 km a viac: 830 EUR na jedného účastníka</w:t>
            </w:r>
          </w:p>
        </w:tc>
      </w:tr>
    </w:tbl>
    <w:p w:rsidR="005C1EFB" w:rsidRPr="00FC3B13" w:rsidRDefault="005C1EFB" w:rsidP="005C1EFB">
      <w:pPr>
        <w:rPr>
          <w:rFonts w:ascii="Times New Roman" w:eastAsia="SimSun" w:hAnsi="Times New Roman"/>
          <w:b/>
          <w:snapToGrid w:val="0"/>
          <w:kern w:val="3"/>
          <w:sz w:val="24"/>
          <w:szCs w:val="24"/>
          <w:lang w:val="sk-SK" w:eastAsia="zh-CN"/>
        </w:rPr>
      </w:pPr>
    </w:p>
    <w:p w:rsidR="00FC3B13" w:rsidRPr="00FC3B13" w:rsidRDefault="00FC3B13" w:rsidP="00FC3B13">
      <w:pPr>
        <w:ind w:left="1134" w:hanging="1134"/>
        <w:jc w:val="both"/>
        <w:rPr>
          <w:rFonts w:ascii="Times New Roman" w:hAnsi="Times New Roman"/>
          <w:sz w:val="24"/>
          <w:szCs w:val="24"/>
          <w:lang w:val="sk-SK"/>
        </w:rPr>
      </w:pPr>
      <w:r w:rsidRPr="00FC3B13">
        <w:rPr>
          <w:rFonts w:ascii="Times New Roman" w:hAnsi="Times New Roman"/>
          <w:sz w:val="24"/>
          <w:szCs w:val="24"/>
          <w:lang w:val="sk-SK"/>
        </w:rPr>
        <w:t>Poznámka: "vzdialenostné pásmo“ predstavuje vzdialenosť medzi miestom pôvodu a miestom konania, kedy „čiastka“ zahŕňa príspevok na obe cesty, na </w:t>
      </w:r>
      <w:r w:rsidRPr="00FC3B13">
        <w:rPr>
          <w:rFonts w:ascii="Times New Roman" w:hAnsi="Times New Roman"/>
          <w:sz w:val="24"/>
          <w:szCs w:val="24"/>
          <w:u w:val="single"/>
          <w:lang w:val="sk-SK"/>
        </w:rPr>
        <w:t>a </w:t>
      </w:r>
      <w:r w:rsidRPr="00FC3B13">
        <w:rPr>
          <w:rFonts w:ascii="Times New Roman" w:hAnsi="Times New Roman"/>
          <w:sz w:val="24"/>
          <w:szCs w:val="24"/>
          <w:lang w:val="sk-SK"/>
        </w:rPr>
        <w:t xml:space="preserve">z miesta konania. </w:t>
      </w:r>
    </w:p>
    <w:p w:rsidR="005C1EFB" w:rsidRPr="00FC3B13" w:rsidRDefault="005C1EFB" w:rsidP="005C1EFB">
      <w:pPr>
        <w:rPr>
          <w:rFonts w:ascii="Times New Roman" w:eastAsia="SimSun" w:hAnsi="Times New Roman"/>
          <w:b/>
          <w:snapToGrid w:val="0"/>
          <w:kern w:val="3"/>
          <w:sz w:val="24"/>
          <w:szCs w:val="24"/>
          <w:lang w:eastAsia="zh-CN"/>
        </w:rPr>
      </w:pPr>
    </w:p>
    <w:p w:rsidR="005C1EFB" w:rsidRPr="00FC3B13" w:rsidRDefault="005C1EFB" w:rsidP="005C1EFB">
      <w:pPr>
        <w:rPr>
          <w:rFonts w:ascii="Times New Roman" w:eastAsia="SimSun" w:hAnsi="Times New Roman"/>
          <w:b/>
          <w:snapToGrid w:val="0"/>
          <w:kern w:val="3"/>
          <w:sz w:val="24"/>
          <w:szCs w:val="24"/>
          <w:lang w:val="sk-SK" w:eastAsia="zh-CN"/>
        </w:rPr>
      </w:pPr>
      <w:r w:rsidRPr="00FC3B13">
        <w:rPr>
          <w:rFonts w:ascii="Times New Roman" w:eastAsia="SimSun" w:hAnsi="Times New Roman"/>
          <w:b/>
          <w:snapToGrid w:val="0"/>
          <w:kern w:val="3"/>
          <w:sz w:val="24"/>
          <w:szCs w:val="24"/>
          <w:lang w:eastAsia="zh-CN"/>
        </w:rPr>
        <w:t>2</w:t>
      </w:r>
      <w:r w:rsidRPr="00FC3B13">
        <w:rPr>
          <w:rFonts w:ascii="Times New Roman" w:eastAsia="SimSun" w:hAnsi="Times New Roman"/>
          <w:b/>
          <w:snapToGrid w:val="0"/>
          <w:kern w:val="3"/>
          <w:sz w:val="24"/>
          <w:szCs w:val="24"/>
          <w:lang w:val="sk-SK" w:eastAsia="zh-CN"/>
        </w:rPr>
        <w:t xml:space="preserve">. </w:t>
      </w:r>
      <w:r w:rsidR="004A3A12" w:rsidRPr="00FC3B13">
        <w:rPr>
          <w:rFonts w:ascii="Times New Roman" w:eastAsia="SimSun" w:hAnsi="Times New Roman"/>
          <w:b/>
          <w:snapToGrid w:val="0"/>
          <w:kern w:val="3"/>
          <w:sz w:val="24"/>
          <w:szCs w:val="24"/>
          <w:lang w:val="sk-SK" w:eastAsia="zh-CN"/>
        </w:rPr>
        <w:t>Podpora na organizáciu</w:t>
      </w:r>
    </w:p>
    <w:tbl>
      <w:tblPr>
        <w:tblW w:w="3263" w:type="pct"/>
        <w:jc w:val="center"/>
        <w:tblLook w:val="0000" w:firstRow="0" w:lastRow="0" w:firstColumn="0" w:lastColumn="0" w:noHBand="0" w:noVBand="0"/>
      </w:tblPr>
      <w:tblGrid>
        <w:gridCol w:w="3840"/>
        <w:gridCol w:w="2075"/>
      </w:tblGrid>
      <w:tr w:rsidR="005C1EFB" w:rsidRPr="00FC3B13" w:rsidTr="00AA71B8">
        <w:trPr>
          <w:trHeight w:val="261"/>
          <w:tblHeader/>
          <w:jc w:val="center"/>
        </w:trPr>
        <w:tc>
          <w:tcPr>
            <w:tcW w:w="3246" w:type="pct"/>
            <w:tcBorders>
              <w:top w:val="nil"/>
              <w:left w:val="nil"/>
              <w:bottom w:val="nil"/>
              <w:right w:val="nil"/>
            </w:tcBorders>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kern w:val="3"/>
                <w:sz w:val="24"/>
                <w:szCs w:val="24"/>
                <w:lang w:val="sk-SK" w:eastAsia="zh-CN"/>
              </w:rPr>
            </w:pPr>
            <w:r w:rsidRPr="00FC3B13">
              <w:rPr>
                <w:rFonts w:ascii="Times New Roman" w:eastAsia="SimSun" w:hAnsi="Times New Roman"/>
                <w:b/>
                <w:kern w:val="3"/>
                <w:sz w:val="24"/>
                <w:szCs w:val="24"/>
                <w:lang w:val="sk-SK" w:eastAsia="zh-CN"/>
              </w:rPr>
              <w:t>Prijímajúca</w:t>
            </w:r>
            <w:r w:rsidR="004A3A12" w:rsidRPr="00FC3B13">
              <w:rPr>
                <w:rFonts w:ascii="Times New Roman" w:eastAsia="SimSun" w:hAnsi="Times New Roman"/>
                <w:b/>
                <w:kern w:val="3"/>
                <w:sz w:val="24"/>
                <w:szCs w:val="24"/>
                <w:lang w:val="sk-SK" w:eastAsia="zh-CN"/>
              </w:rPr>
              <w:t xml:space="preserve"> krajina</w:t>
            </w: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FC3B1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Pr>
                <w:rFonts w:ascii="Times New Roman" w:eastAsia="SimSun" w:hAnsi="Times New Roman"/>
                <w:b/>
                <w:bCs/>
                <w:kern w:val="3"/>
                <w:sz w:val="24"/>
                <w:szCs w:val="24"/>
                <w:lang w:val="sk-SK" w:eastAsia="zh-CN"/>
              </w:rPr>
              <w:t>Čiastka na deň v EUR</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Belgicko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37</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Bulharsko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32</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Česká republika</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32</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Dánsko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40</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Nemecko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33</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Estónsko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33</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Írsko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39</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Grécko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38</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Španielsko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34</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Francúzsko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37</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Chorvátsko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35</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Taliansko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39</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5C1EFB"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lastRenderedPageBreak/>
              <w:t>Cyprus</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32</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 xml:space="preserve">Lotyšsko </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34</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Litva</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34</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Luxembursko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36</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Maďarsko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33</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5C1EFB"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Malta</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37</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Holandsko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39</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Rakúsko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39</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Poľsko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34</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5C1EFB"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Portugal</w:t>
            </w:r>
            <w:r w:rsidR="006B0AE3" w:rsidRPr="00FC3B13">
              <w:rPr>
                <w:rFonts w:ascii="Times New Roman" w:eastAsia="SimSun" w:hAnsi="Times New Roman"/>
                <w:b/>
                <w:bCs/>
                <w:kern w:val="3"/>
                <w:sz w:val="24"/>
                <w:szCs w:val="24"/>
                <w:lang w:val="sk-SK" w:eastAsia="zh-CN"/>
              </w:rPr>
              <w:t>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37</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Rumunsko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32</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5C1EFB" w:rsidP="006B0AE3">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Sl</w:t>
            </w:r>
            <w:r w:rsidR="006B0AE3" w:rsidRPr="00FC3B13">
              <w:rPr>
                <w:rFonts w:ascii="Times New Roman" w:eastAsia="SimSun" w:hAnsi="Times New Roman"/>
                <w:b/>
                <w:bCs/>
                <w:kern w:val="3"/>
                <w:sz w:val="24"/>
                <w:szCs w:val="24"/>
                <w:lang w:val="sk-SK" w:eastAsia="zh-CN"/>
              </w:rPr>
              <w:t>ovinsko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34</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Slovensko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35</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6B0AE3">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Fínsko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39</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Švédsko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39</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Spojené kráľovstvo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40</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Island</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39</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val="sk-SK" w:eastAsia="zh-CN"/>
              </w:rPr>
            </w:pPr>
            <w:r w:rsidRPr="00FC3B13">
              <w:rPr>
                <w:rFonts w:ascii="Times New Roman" w:eastAsia="SimSun" w:hAnsi="Times New Roman"/>
                <w:b/>
                <w:bCs/>
                <w:kern w:val="3"/>
                <w:sz w:val="24"/>
                <w:szCs w:val="24"/>
                <w:lang w:val="sk-SK" w:eastAsia="zh-CN"/>
              </w:rPr>
              <w:t>Lichtenštajnsko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24"/>
                <w:szCs w:val="24"/>
                <w:lang w:val="sk-SK" w:eastAsia="zh-CN"/>
              </w:rPr>
            </w:pPr>
            <w:r w:rsidRPr="00FC3B13">
              <w:rPr>
                <w:rFonts w:ascii="Times New Roman" w:eastAsia="SimSun" w:hAnsi="Times New Roman"/>
                <w:kern w:val="3"/>
                <w:sz w:val="24"/>
                <w:szCs w:val="24"/>
                <w:lang w:val="sk-SK" w:eastAsia="zh-CN"/>
              </w:rPr>
              <w:t>39</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18"/>
                <w:szCs w:val="18"/>
                <w:lang w:val="sk-SK" w:eastAsia="zh-CN"/>
              </w:rPr>
            </w:pPr>
            <w:r w:rsidRPr="00FC3B13">
              <w:rPr>
                <w:rFonts w:ascii="Times New Roman" w:eastAsia="SimSun" w:hAnsi="Times New Roman"/>
                <w:b/>
                <w:bCs/>
                <w:kern w:val="3"/>
                <w:sz w:val="18"/>
                <w:szCs w:val="18"/>
                <w:lang w:val="sk-SK" w:eastAsia="zh-CN"/>
              </w:rPr>
              <w:t>Nórsko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18"/>
                <w:szCs w:val="18"/>
                <w:lang w:val="sk-SK" w:eastAsia="zh-CN"/>
              </w:rPr>
            </w:pPr>
            <w:r w:rsidRPr="00FC3B13">
              <w:rPr>
                <w:rFonts w:ascii="Times New Roman" w:eastAsia="SimSun" w:hAnsi="Times New Roman"/>
                <w:kern w:val="3"/>
                <w:sz w:val="18"/>
                <w:szCs w:val="18"/>
                <w:lang w:val="sk-SK" w:eastAsia="zh-CN"/>
              </w:rPr>
              <w:t>40</w:t>
            </w:r>
          </w:p>
        </w:tc>
      </w:tr>
      <w:tr w:rsidR="005C1EFB" w:rsidRPr="00FC3B13" w:rsidTr="00AA71B8">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18"/>
                <w:szCs w:val="18"/>
                <w:lang w:val="sk-SK" w:eastAsia="zh-CN"/>
              </w:rPr>
            </w:pPr>
            <w:r w:rsidRPr="00FC3B13">
              <w:rPr>
                <w:rFonts w:ascii="Times New Roman" w:eastAsia="SimSun" w:hAnsi="Times New Roman"/>
                <w:b/>
                <w:bCs/>
                <w:kern w:val="3"/>
                <w:sz w:val="18"/>
                <w:szCs w:val="18"/>
                <w:lang w:val="sk-SK" w:eastAsia="zh-CN"/>
              </w:rPr>
              <w:t>Turecko</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18"/>
                <w:szCs w:val="18"/>
                <w:lang w:val="sk-SK" w:eastAsia="zh-CN"/>
              </w:rPr>
            </w:pPr>
            <w:r w:rsidRPr="00FC3B13">
              <w:rPr>
                <w:rFonts w:ascii="Times New Roman" w:eastAsia="SimSun" w:hAnsi="Times New Roman"/>
                <w:kern w:val="3"/>
                <w:sz w:val="18"/>
                <w:szCs w:val="18"/>
                <w:lang w:val="sk-SK" w:eastAsia="zh-CN"/>
              </w:rPr>
              <w:t>32</w:t>
            </w:r>
          </w:p>
        </w:tc>
      </w:tr>
      <w:tr w:rsidR="005C1EFB" w:rsidRPr="00FC3B13" w:rsidTr="00AA71B8">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C1EFB" w:rsidRPr="00FC3B13" w:rsidRDefault="006B0AE3" w:rsidP="00AA71B8">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18"/>
                <w:szCs w:val="18"/>
                <w:lang w:val="sk-SK" w:eastAsia="zh-CN"/>
              </w:rPr>
            </w:pPr>
            <w:r w:rsidRPr="00FC3B13">
              <w:rPr>
                <w:rFonts w:ascii="Times New Roman" w:eastAsia="SimSun" w:hAnsi="Times New Roman"/>
                <w:b/>
                <w:bCs/>
                <w:kern w:val="3"/>
                <w:sz w:val="18"/>
                <w:szCs w:val="18"/>
                <w:lang w:val="sk-SK" w:eastAsia="zh-CN"/>
              </w:rPr>
              <w:t>Partnerská Krajina susediaca s EÚ</w:t>
            </w:r>
          </w:p>
        </w:tc>
        <w:tc>
          <w:tcPr>
            <w:tcW w:w="1754" w:type="pct"/>
            <w:tcBorders>
              <w:top w:val="single" w:sz="6" w:space="0" w:color="auto"/>
              <w:left w:val="single" w:sz="6" w:space="0" w:color="auto"/>
              <w:bottom w:val="single" w:sz="6" w:space="0" w:color="auto"/>
              <w:right w:val="single" w:sz="6" w:space="0" w:color="auto"/>
            </w:tcBorders>
            <w:vAlign w:val="center"/>
          </w:tcPr>
          <w:p w:rsidR="005C1EFB" w:rsidRPr="00FC3B13" w:rsidRDefault="005C1EFB" w:rsidP="00AA71B8">
            <w:pPr>
              <w:widowControl w:val="0"/>
              <w:suppressAutoHyphens/>
              <w:autoSpaceDN w:val="0"/>
              <w:spacing w:after="0" w:line="240" w:lineRule="auto"/>
              <w:jc w:val="center"/>
              <w:textAlignment w:val="baseline"/>
              <w:rPr>
                <w:rFonts w:ascii="Times New Roman" w:eastAsia="SimSun" w:hAnsi="Times New Roman"/>
                <w:kern w:val="3"/>
                <w:sz w:val="18"/>
                <w:szCs w:val="18"/>
                <w:lang w:val="sk-SK" w:eastAsia="zh-CN"/>
              </w:rPr>
            </w:pPr>
            <w:r w:rsidRPr="00FC3B13">
              <w:rPr>
                <w:rFonts w:ascii="Times New Roman" w:eastAsia="SimSun" w:hAnsi="Times New Roman"/>
                <w:kern w:val="3"/>
                <w:sz w:val="18"/>
                <w:szCs w:val="18"/>
                <w:lang w:val="sk-SK" w:eastAsia="zh-CN"/>
              </w:rPr>
              <w:t>29</w:t>
            </w:r>
          </w:p>
        </w:tc>
      </w:tr>
    </w:tbl>
    <w:p w:rsidR="005C1EFB" w:rsidRPr="006B0AE3" w:rsidRDefault="005C1EFB" w:rsidP="005C1EFB">
      <w:pPr>
        <w:rPr>
          <w:rFonts w:ascii="Tahoma" w:eastAsia="SimSun" w:hAnsi="Tahoma" w:cs="Tahoma"/>
          <w:b/>
          <w:snapToGrid w:val="0"/>
          <w:kern w:val="3"/>
          <w:sz w:val="18"/>
          <w:szCs w:val="18"/>
          <w:lang w:val="sk-SK" w:eastAsia="zh-CN"/>
        </w:rPr>
      </w:pPr>
    </w:p>
    <w:p w:rsidR="005C1EFB" w:rsidRPr="00182246" w:rsidRDefault="005C1EFB" w:rsidP="005C1EFB">
      <w:pPr>
        <w:jc w:val="both"/>
        <w:rPr>
          <w:rFonts w:ascii="Times New Roman" w:eastAsia="SimSun" w:hAnsi="Times New Roman"/>
          <w:b/>
          <w:snapToGrid w:val="0"/>
          <w:kern w:val="3"/>
          <w:sz w:val="24"/>
          <w:szCs w:val="24"/>
          <w:lang w:val="sk-SK" w:eastAsia="zh-CN"/>
        </w:rPr>
      </w:pPr>
      <w:r w:rsidRPr="006B0AE3">
        <w:rPr>
          <w:rFonts w:ascii="Times New Roman" w:eastAsia="SimSun" w:hAnsi="Times New Roman"/>
          <w:snapToGrid w:val="0"/>
          <w:kern w:val="3"/>
          <w:sz w:val="24"/>
          <w:szCs w:val="24"/>
          <w:lang w:val="sk-SK" w:eastAsia="zh-CN"/>
        </w:rPr>
        <w:br w:type="page"/>
      </w:r>
      <w:r w:rsidRPr="00182246">
        <w:rPr>
          <w:rFonts w:ascii="Times New Roman" w:eastAsia="SimSun" w:hAnsi="Times New Roman"/>
          <w:b/>
          <w:snapToGrid w:val="0"/>
          <w:kern w:val="3"/>
          <w:sz w:val="24"/>
          <w:szCs w:val="24"/>
          <w:lang w:val="sk-SK" w:eastAsia="zh-CN"/>
        </w:rPr>
        <w:lastRenderedPageBreak/>
        <w:t xml:space="preserve">IV. Ustanovenie o podporných dokumentoch </w:t>
      </w:r>
    </w:p>
    <w:p w:rsidR="005C1EFB" w:rsidRPr="00182246" w:rsidRDefault="005C1EFB" w:rsidP="005C1EFB">
      <w:pPr>
        <w:jc w:val="both"/>
        <w:rPr>
          <w:rFonts w:ascii="Times New Roman" w:hAnsi="Times New Roman"/>
          <w:sz w:val="24"/>
          <w:szCs w:val="24"/>
          <w:lang w:val="sk-SK"/>
        </w:rPr>
      </w:pPr>
      <w:r>
        <w:rPr>
          <w:rFonts w:ascii="Times New Roman" w:hAnsi="Times New Roman"/>
          <w:sz w:val="24"/>
          <w:szCs w:val="24"/>
          <w:lang w:val="sk-SK"/>
        </w:rPr>
        <w:t>V súlade s č</w:t>
      </w:r>
      <w:r w:rsidRPr="00182246">
        <w:rPr>
          <w:rFonts w:ascii="Times New Roman" w:hAnsi="Times New Roman"/>
          <w:sz w:val="24"/>
          <w:szCs w:val="24"/>
          <w:lang w:val="sk-SK"/>
        </w:rPr>
        <w:t>lánkom II.2</w:t>
      </w:r>
      <w:r w:rsidR="007B6ABB">
        <w:rPr>
          <w:rFonts w:ascii="Times New Roman" w:hAnsi="Times New Roman"/>
          <w:sz w:val="24"/>
          <w:szCs w:val="24"/>
          <w:lang w:val="sk-SK"/>
        </w:rPr>
        <w:t>0</w:t>
      </w:r>
      <w:r w:rsidRPr="00182246">
        <w:rPr>
          <w:rFonts w:ascii="Times New Roman" w:hAnsi="Times New Roman"/>
          <w:sz w:val="24"/>
          <w:szCs w:val="24"/>
          <w:lang w:val="sk-SK"/>
        </w:rPr>
        <w:t xml:space="preserve">, príjemca </w:t>
      </w:r>
      <w:r>
        <w:rPr>
          <w:rFonts w:ascii="Times New Roman" w:hAnsi="Times New Roman"/>
          <w:sz w:val="24"/>
          <w:szCs w:val="24"/>
          <w:lang w:val="sk-SK"/>
        </w:rPr>
        <w:t>podlieha</w:t>
      </w:r>
      <w:r w:rsidRPr="00182246">
        <w:rPr>
          <w:rFonts w:ascii="Times New Roman" w:hAnsi="Times New Roman"/>
          <w:sz w:val="24"/>
          <w:szCs w:val="24"/>
          <w:lang w:val="sk-SK"/>
        </w:rPr>
        <w:t xml:space="preserve"> kontrolám a auditom vo vzťahu k zmluve. Cieľom kontrol a auditov je overiť, či príjemca spravoval grant s ohľadom na pravidlá stanovené v zmluve, </w:t>
      </w:r>
      <w:r>
        <w:rPr>
          <w:rFonts w:ascii="Times New Roman" w:hAnsi="Times New Roman"/>
          <w:sz w:val="24"/>
          <w:szCs w:val="24"/>
          <w:lang w:val="sk-SK"/>
        </w:rPr>
        <w:t>za účelom stanovenia</w:t>
      </w:r>
      <w:r w:rsidRPr="00182246">
        <w:rPr>
          <w:rFonts w:ascii="Times New Roman" w:hAnsi="Times New Roman"/>
          <w:sz w:val="24"/>
          <w:szCs w:val="24"/>
          <w:lang w:val="sk-SK"/>
        </w:rPr>
        <w:t xml:space="preserve"> </w:t>
      </w:r>
      <w:r>
        <w:rPr>
          <w:rFonts w:ascii="Times New Roman" w:hAnsi="Times New Roman"/>
          <w:sz w:val="24"/>
          <w:szCs w:val="24"/>
          <w:lang w:val="sk-SK"/>
        </w:rPr>
        <w:t xml:space="preserve">konečnej </w:t>
      </w:r>
      <w:r w:rsidRPr="00182246">
        <w:rPr>
          <w:rFonts w:ascii="Times New Roman" w:hAnsi="Times New Roman"/>
          <w:sz w:val="24"/>
          <w:szCs w:val="24"/>
          <w:lang w:val="sk-SK"/>
        </w:rPr>
        <w:t>výšk</w:t>
      </w:r>
      <w:r>
        <w:rPr>
          <w:rFonts w:ascii="Times New Roman" w:hAnsi="Times New Roman"/>
          <w:sz w:val="24"/>
          <w:szCs w:val="24"/>
          <w:lang w:val="sk-SK"/>
        </w:rPr>
        <w:t>y</w:t>
      </w:r>
      <w:r w:rsidRPr="00182246">
        <w:rPr>
          <w:rFonts w:ascii="Times New Roman" w:hAnsi="Times New Roman"/>
          <w:sz w:val="24"/>
          <w:szCs w:val="24"/>
          <w:lang w:val="sk-SK"/>
        </w:rPr>
        <w:t xml:space="preserve"> grantu, na ktorý má príjemca nárok. Za týmto účelom môž</w:t>
      </w:r>
      <w:r>
        <w:rPr>
          <w:rFonts w:ascii="Times New Roman" w:hAnsi="Times New Roman"/>
          <w:sz w:val="24"/>
          <w:szCs w:val="24"/>
          <w:lang w:val="sk-SK"/>
        </w:rPr>
        <w:t xml:space="preserve">u byť u </w:t>
      </w:r>
      <w:r w:rsidRPr="00182246">
        <w:rPr>
          <w:rFonts w:ascii="Times New Roman" w:hAnsi="Times New Roman"/>
          <w:sz w:val="24"/>
          <w:szCs w:val="24"/>
          <w:lang w:val="sk-SK"/>
        </w:rPr>
        <w:t xml:space="preserve"> príjemc</w:t>
      </w:r>
      <w:r>
        <w:rPr>
          <w:rFonts w:ascii="Times New Roman" w:hAnsi="Times New Roman"/>
          <w:sz w:val="24"/>
          <w:szCs w:val="24"/>
          <w:lang w:val="sk-SK"/>
        </w:rPr>
        <w:t>u</w:t>
      </w:r>
      <w:r w:rsidRPr="00182246">
        <w:rPr>
          <w:rFonts w:ascii="Times New Roman" w:hAnsi="Times New Roman"/>
          <w:sz w:val="24"/>
          <w:szCs w:val="24"/>
          <w:lang w:val="sk-SK"/>
        </w:rPr>
        <w:t xml:space="preserve"> </w:t>
      </w:r>
      <w:r>
        <w:rPr>
          <w:rFonts w:ascii="Times New Roman" w:hAnsi="Times New Roman"/>
          <w:sz w:val="24"/>
          <w:szCs w:val="24"/>
          <w:lang w:val="sk-SK"/>
        </w:rPr>
        <w:t xml:space="preserve">vykonané nasledovné typy kontrol: </w:t>
      </w:r>
    </w:p>
    <w:p w:rsidR="005C1EFB" w:rsidRPr="00182246" w:rsidRDefault="005C1EFB" w:rsidP="005C1EFB">
      <w:pPr>
        <w:numPr>
          <w:ilvl w:val="0"/>
          <w:numId w:val="2"/>
        </w:numPr>
        <w:jc w:val="both"/>
        <w:rPr>
          <w:rFonts w:ascii="Times New Roman" w:hAnsi="Times New Roman"/>
          <w:sz w:val="24"/>
          <w:szCs w:val="24"/>
          <w:lang w:val="sk-SK"/>
        </w:rPr>
      </w:pPr>
      <w:r w:rsidRPr="00182246">
        <w:rPr>
          <w:rFonts w:ascii="Times New Roman" w:hAnsi="Times New Roman"/>
          <w:sz w:val="24"/>
          <w:szCs w:val="24"/>
          <w:lang w:val="sk-SK"/>
        </w:rPr>
        <w:t xml:space="preserve">Kontrola záverečnej správy: kontrola sa realizuje vo fáze záverečnej správy a vykonáva ju NA vo svojich priestoroch, aby stanovila </w:t>
      </w:r>
      <w:r>
        <w:rPr>
          <w:rFonts w:ascii="Times New Roman" w:hAnsi="Times New Roman"/>
          <w:sz w:val="24"/>
          <w:szCs w:val="24"/>
          <w:lang w:val="sk-SK"/>
        </w:rPr>
        <w:t xml:space="preserve">konečnú </w:t>
      </w:r>
      <w:r w:rsidRPr="00182246">
        <w:rPr>
          <w:rFonts w:ascii="Times New Roman" w:hAnsi="Times New Roman"/>
          <w:sz w:val="24"/>
          <w:szCs w:val="24"/>
          <w:lang w:val="sk-SK"/>
        </w:rPr>
        <w:t>výšku grantu, na ktorý má príjemca nárok. Tento typ kontroly sa vykonáva vo všetkých prípadoch;</w:t>
      </w:r>
    </w:p>
    <w:p w:rsidR="005C1EFB" w:rsidRPr="00182246" w:rsidRDefault="005C1EFB" w:rsidP="005C1EFB">
      <w:pPr>
        <w:numPr>
          <w:ilvl w:val="0"/>
          <w:numId w:val="2"/>
        </w:numPr>
        <w:jc w:val="both"/>
        <w:rPr>
          <w:rFonts w:ascii="Times New Roman" w:hAnsi="Times New Roman"/>
          <w:sz w:val="24"/>
          <w:szCs w:val="24"/>
          <w:lang w:val="sk-SK"/>
        </w:rPr>
      </w:pPr>
      <w:r w:rsidRPr="00182246">
        <w:rPr>
          <w:rFonts w:ascii="Times New Roman" w:hAnsi="Times New Roman"/>
          <w:sz w:val="24"/>
          <w:szCs w:val="24"/>
          <w:lang w:val="sk-SK"/>
        </w:rPr>
        <w:t>Hĺbková kontrola: Hĺbková kontrola podporných dokumentov sa vykonáva v priestoroch NA, zvyčajne počas kontroly záverečnej správy alebo po ukončení fázy záverečnej správy, ak je zmluva zahrnutá do vzorky NA na hĺbkovú kontrolu požadovanú Európskou komisiou alebo ak NA zahrnula zmluvu medzi cielené hĺbkové</w:t>
      </w:r>
      <w:r>
        <w:rPr>
          <w:rFonts w:ascii="Times New Roman" w:hAnsi="Times New Roman"/>
          <w:sz w:val="24"/>
          <w:szCs w:val="24"/>
          <w:lang w:val="sk-SK"/>
        </w:rPr>
        <w:t xml:space="preserve"> </w:t>
      </w:r>
      <w:r w:rsidRPr="00182246">
        <w:rPr>
          <w:rFonts w:ascii="Times New Roman" w:hAnsi="Times New Roman"/>
          <w:sz w:val="24"/>
          <w:szCs w:val="24"/>
          <w:lang w:val="sk-SK"/>
        </w:rPr>
        <w:t>kontroly na základe zhodnotenia rizika;</w:t>
      </w:r>
    </w:p>
    <w:p w:rsidR="005C1EFB" w:rsidRPr="00182246" w:rsidRDefault="005C1EFB" w:rsidP="005C1EFB">
      <w:pPr>
        <w:numPr>
          <w:ilvl w:val="0"/>
          <w:numId w:val="2"/>
        </w:numPr>
        <w:jc w:val="both"/>
        <w:rPr>
          <w:rFonts w:ascii="Times New Roman" w:hAnsi="Times New Roman"/>
          <w:sz w:val="24"/>
          <w:szCs w:val="24"/>
          <w:lang w:val="sk-SK"/>
        </w:rPr>
      </w:pPr>
      <w:r w:rsidRPr="00182246">
        <w:rPr>
          <w:rFonts w:ascii="Times New Roman" w:hAnsi="Times New Roman"/>
          <w:sz w:val="24"/>
          <w:szCs w:val="24"/>
          <w:lang w:val="sk-SK"/>
        </w:rPr>
        <w:t xml:space="preserve">Kontrola na mieste: kontrola sa realizuje v priestoroch organizácie príjemcu alebo v iných priestoroch relevantných pre realizáciu projektu. </w:t>
      </w:r>
      <w:r>
        <w:rPr>
          <w:rFonts w:ascii="Times New Roman" w:hAnsi="Times New Roman"/>
          <w:sz w:val="24"/>
          <w:szCs w:val="24"/>
          <w:lang w:val="sk-SK"/>
        </w:rPr>
        <w:t xml:space="preserve">U príjemcu môže byť vykonaná kontrola na mieste, ak </w:t>
      </w:r>
      <w:r w:rsidRPr="00182246">
        <w:rPr>
          <w:rFonts w:ascii="Times New Roman" w:hAnsi="Times New Roman"/>
          <w:sz w:val="24"/>
          <w:szCs w:val="24"/>
          <w:lang w:val="sk-SK"/>
        </w:rPr>
        <w:t>je zmluva zahrnutá do vzorky NA na kontrolu na mieste požadovanú Európskou komisiou alebo ak NA zahrnula zmluvu medzi</w:t>
      </w:r>
      <w:r>
        <w:rPr>
          <w:rFonts w:ascii="Times New Roman" w:hAnsi="Times New Roman"/>
          <w:sz w:val="24"/>
          <w:szCs w:val="24"/>
          <w:lang w:val="sk-SK"/>
        </w:rPr>
        <w:t xml:space="preserve"> </w:t>
      </w:r>
      <w:r w:rsidRPr="00182246">
        <w:rPr>
          <w:rFonts w:ascii="Times New Roman" w:hAnsi="Times New Roman"/>
          <w:sz w:val="24"/>
          <w:szCs w:val="24"/>
          <w:lang w:val="sk-SK"/>
        </w:rPr>
        <w:t>cielené kontroly na mieste na základe zhodnotenia rizika. Existujú tri typy možných kontrol na mieste:</w:t>
      </w:r>
    </w:p>
    <w:p w:rsidR="005C1EFB" w:rsidRPr="00182246" w:rsidRDefault="005C1EFB" w:rsidP="005C1EFB">
      <w:pPr>
        <w:numPr>
          <w:ilvl w:val="1"/>
          <w:numId w:val="2"/>
        </w:numPr>
        <w:jc w:val="both"/>
        <w:rPr>
          <w:rFonts w:ascii="Times New Roman" w:hAnsi="Times New Roman"/>
          <w:sz w:val="24"/>
          <w:szCs w:val="24"/>
          <w:lang w:val="sk-SK"/>
        </w:rPr>
      </w:pPr>
      <w:r w:rsidRPr="00182246">
        <w:rPr>
          <w:rFonts w:ascii="Times New Roman" w:hAnsi="Times New Roman"/>
          <w:sz w:val="24"/>
          <w:szCs w:val="24"/>
          <w:lang w:val="sk-SK"/>
        </w:rPr>
        <w:t xml:space="preserve"> Kontrola na mieste počas trvania projektu: kontrola vykonaná počas realizácie projektu, </w:t>
      </w:r>
    </w:p>
    <w:p w:rsidR="005C1EFB" w:rsidRPr="00182246" w:rsidRDefault="005C1EFB" w:rsidP="005C1EFB">
      <w:pPr>
        <w:numPr>
          <w:ilvl w:val="1"/>
          <w:numId w:val="2"/>
        </w:numPr>
        <w:jc w:val="both"/>
        <w:rPr>
          <w:rFonts w:ascii="Times New Roman" w:hAnsi="Times New Roman"/>
          <w:sz w:val="24"/>
          <w:szCs w:val="24"/>
          <w:lang w:val="sk-SK"/>
        </w:rPr>
      </w:pPr>
      <w:r w:rsidRPr="00182246">
        <w:rPr>
          <w:rFonts w:ascii="Times New Roman" w:hAnsi="Times New Roman"/>
          <w:sz w:val="24"/>
          <w:szCs w:val="24"/>
          <w:lang w:val="sk-SK"/>
        </w:rPr>
        <w:t> Kontrola na mieste po ukončení projektu: kontrola vykonaná po ukončení projektu a zvyčajne po kontrole záverečnej správy,</w:t>
      </w:r>
    </w:p>
    <w:p w:rsidR="005C1EFB" w:rsidRPr="00182246" w:rsidRDefault="005C1EFB" w:rsidP="005C1EFB">
      <w:pPr>
        <w:numPr>
          <w:ilvl w:val="1"/>
          <w:numId w:val="2"/>
        </w:numPr>
        <w:jc w:val="both"/>
        <w:rPr>
          <w:rFonts w:ascii="Times New Roman" w:hAnsi="Times New Roman"/>
          <w:sz w:val="24"/>
          <w:szCs w:val="24"/>
          <w:lang w:val="sk-SK"/>
        </w:rPr>
      </w:pPr>
      <w:r w:rsidRPr="00182246">
        <w:rPr>
          <w:rFonts w:ascii="Times New Roman" w:hAnsi="Times New Roman"/>
          <w:sz w:val="24"/>
          <w:szCs w:val="24"/>
          <w:lang w:val="sk-SK"/>
        </w:rPr>
        <w:t xml:space="preserve"> Systémová kontrola: kontrola príjemcu, aby sa zabezpečil súlad so záväzkami, ku ktorým sa príjemca zaviazal a ktoré sú výsledkom </w:t>
      </w:r>
    </w:p>
    <w:p w:rsidR="005C1EFB" w:rsidRPr="00182246" w:rsidRDefault="005C1EFB" w:rsidP="005C1EFB">
      <w:pPr>
        <w:jc w:val="both"/>
        <w:rPr>
          <w:rFonts w:ascii="Times New Roman" w:hAnsi="Times New Roman"/>
          <w:sz w:val="24"/>
          <w:szCs w:val="24"/>
          <w:lang w:val="sk-SK"/>
        </w:rPr>
      </w:pPr>
      <w:r w:rsidRPr="00182246">
        <w:rPr>
          <w:rFonts w:ascii="Times New Roman" w:hAnsi="Times New Roman"/>
          <w:sz w:val="24"/>
          <w:szCs w:val="24"/>
          <w:lang w:val="sk-SK"/>
        </w:rPr>
        <w:t xml:space="preserve">Tabuľka nižšie špecifikuje predmet </w:t>
      </w:r>
      <w:r>
        <w:rPr>
          <w:rFonts w:ascii="Times New Roman" w:hAnsi="Times New Roman"/>
          <w:sz w:val="24"/>
          <w:szCs w:val="24"/>
          <w:lang w:val="sk-SK"/>
        </w:rPr>
        <w:t>overovania, ktoré vykoná NA</w:t>
      </w:r>
      <w:r w:rsidRPr="00182246">
        <w:rPr>
          <w:rFonts w:ascii="Times New Roman" w:hAnsi="Times New Roman"/>
          <w:sz w:val="24"/>
          <w:szCs w:val="24"/>
          <w:lang w:val="sk-SK"/>
        </w:rPr>
        <w:t xml:space="preserve"> pre každú rozpočtovú kategóriu v rôznych typoch kontrol.</w:t>
      </w:r>
      <w:r>
        <w:rPr>
          <w:rFonts w:ascii="Times New Roman" w:hAnsi="Times New Roman"/>
          <w:sz w:val="24"/>
          <w:szCs w:val="24"/>
          <w:lang w:val="sk-SK"/>
        </w:rPr>
        <w:t xml:space="preserve"> </w:t>
      </w:r>
      <w:r w:rsidRPr="00182246">
        <w:rPr>
          <w:rFonts w:ascii="Times New Roman" w:hAnsi="Times New Roman"/>
          <w:sz w:val="24"/>
          <w:szCs w:val="24"/>
          <w:lang w:val="sk-SK"/>
        </w:rPr>
        <w:t xml:space="preserve">Príjemca </w:t>
      </w:r>
      <w:r>
        <w:rPr>
          <w:rFonts w:ascii="Times New Roman" w:hAnsi="Times New Roman"/>
          <w:sz w:val="24"/>
          <w:szCs w:val="24"/>
          <w:lang w:val="sk-SK"/>
        </w:rPr>
        <w:t>berie na vedomie</w:t>
      </w:r>
      <w:r w:rsidRPr="00182246">
        <w:rPr>
          <w:rFonts w:ascii="Times New Roman" w:hAnsi="Times New Roman"/>
          <w:sz w:val="24"/>
          <w:szCs w:val="24"/>
          <w:lang w:val="sk-SK"/>
        </w:rPr>
        <w:t>, že NA môže žiadať pre akýkoľvek typ kontroly taktiež podporné dokumenty alebo dôkazy, ktoré sú zvyčajne stanovené pre iný typ kontroly v tabuľke nižšie.</w:t>
      </w:r>
      <w:r>
        <w:rPr>
          <w:rFonts w:ascii="Times New Roman" w:hAnsi="Times New Roman"/>
          <w:sz w:val="24"/>
          <w:szCs w:val="24"/>
          <w:lang w:val="sk-SK"/>
        </w:rPr>
        <w:t xml:space="preserve"> </w:t>
      </w:r>
    </w:p>
    <w:p w:rsidR="005C1EFB" w:rsidRPr="00182246" w:rsidRDefault="005C1EFB" w:rsidP="005C1EFB">
      <w:pPr>
        <w:jc w:val="both"/>
        <w:rPr>
          <w:rFonts w:ascii="Times New Roman" w:hAnsi="Times New Roman"/>
          <w:sz w:val="24"/>
          <w:szCs w:val="24"/>
          <w:lang w:val="sk-SK"/>
        </w:rPr>
      </w:pPr>
      <w:r w:rsidRPr="00182246">
        <w:rPr>
          <w:rFonts w:ascii="Times New Roman" w:hAnsi="Times New Roman"/>
          <w:sz w:val="24"/>
          <w:szCs w:val="24"/>
          <w:lang w:val="sk-SK"/>
        </w:rPr>
        <w:t xml:space="preserve">S ohľadom na kontroly, príjemca </w:t>
      </w:r>
      <w:r>
        <w:rPr>
          <w:rFonts w:ascii="Times New Roman" w:hAnsi="Times New Roman"/>
          <w:sz w:val="24"/>
          <w:szCs w:val="24"/>
          <w:lang w:val="sk-SK"/>
        </w:rPr>
        <w:t xml:space="preserve">je povinný </w:t>
      </w:r>
      <w:r w:rsidRPr="00182246">
        <w:rPr>
          <w:rFonts w:ascii="Times New Roman" w:hAnsi="Times New Roman"/>
          <w:sz w:val="24"/>
          <w:szCs w:val="24"/>
          <w:lang w:val="sk-SK"/>
        </w:rPr>
        <w:t xml:space="preserve">poskytnúť originálny podporných dokumentov. </w:t>
      </w:r>
      <w:r w:rsidR="000E25EA" w:rsidRPr="00182246">
        <w:rPr>
          <w:rFonts w:ascii="Times New Roman" w:hAnsi="Times New Roman"/>
          <w:sz w:val="24"/>
          <w:szCs w:val="24"/>
          <w:lang w:val="sk-SK"/>
        </w:rPr>
        <w:t xml:space="preserve">Po </w:t>
      </w:r>
      <w:r w:rsidR="000E25EA">
        <w:rPr>
          <w:rFonts w:ascii="Times New Roman" w:hAnsi="Times New Roman"/>
          <w:sz w:val="24"/>
          <w:szCs w:val="24"/>
          <w:lang w:val="sk-SK"/>
        </w:rPr>
        <w:t xml:space="preserve">ich posúdení je </w:t>
      </w:r>
      <w:r w:rsidR="000E25EA" w:rsidRPr="00182246">
        <w:rPr>
          <w:rFonts w:ascii="Times New Roman" w:hAnsi="Times New Roman"/>
          <w:sz w:val="24"/>
          <w:szCs w:val="24"/>
          <w:lang w:val="sk-SK"/>
        </w:rPr>
        <w:t xml:space="preserve">NA </w:t>
      </w:r>
      <w:r w:rsidR="000E25EA">
        <w:rPr>
          <w:rFonts w:ascii="Times New Roman" w:hAnsi="Times New Roman"/>
          <w:sz w:val="24"/>
          <w:szCs w:val="24"/>
          <w:lang w:val="sk-SK"/>
        </w:rPr>
        <w:t xml:space="preserve">povinná </w:t>
      </w:r>
      <w:r w:rsidR="000E25EA" w:rsidRPr="00182246">
        <w:rPr>
          <w:rFonts w:ascii="Times New Roman" w:hAnsi="Times New Roman"/>
          <w:sz w:val="24"/>
          <w:szCs w:val="24"/>
          <w:lang w:val="sk-SK"/>
        </w:rPr>
        <w:t xml:space="preserve"> vrátiť originály podporných dokumentov príjemcovi.</w:t>
      </w:r>
      <w:r w:rsidR="000E25EA">
        <w:rPr>
          <w:rFonts w:ascii="Times New Roman" w:hAnsi="Times New Roman"/>
          <w:sz w:val="24"/>
          <w:szCs w:val="24"/>
          <w:lang w:val="sk-SK"/>
        </w:rPr>
        <w:t xml:space="preserve"> </w:t>
      </w:r>
      <w:r w:rsidRPr="00182246">
        <w:rPr>
          <w:rFonts w:ascii="Times New Roman" w:hAnsi="Times New Roman"/>
          <w:sz w:val="24"/>
          <w:szCs w:val="24"/>
          <w:lang w:val="sk-SK"/>
        </w:rPr>
        <w:t xml:space="preserve">V prípade, že príjemca nie je oprávnený zaslať originály dokumentov do NA pre potreby záverečnej správy alebo hĺbkovej kontroly, príjemca </w:t>
      </w:r>
      <w:r>
        <w:rPr>
          <w:rFonts w:ascii="Times New Roman" w:hAnsi="Times New Roman"/>
          <w:sz w:val="24"/>
          <w:szCs w:val="24"/>
          <w:lang w:val="sk-SK"/>
        </w:rPr>
        <w:t xml:space="preserve">je oprávnený </w:t>
      </w:r>
      <w:r w:rsidRPr="00182246">
        <w:rPr>
          <w:rFonts w:ascii="Times New Roman" w:hAnsi="Times New Roman"/>
          <w:sz w:val="24"/>
          <w:szCs w:val="24"/>
          <w:lang w:val="sk-SK"/>
        </w:rPr>
        <w:t xml:space="preserve">zaslať na miesto nich kópie. </w:t>
      </w:r>
    </w:p>
    <w:p w:rsidR="005C1EFB" w:rsidRPr="00FC3B13" w:rsidRDefault="005C1EFB" w:rsidP="00FA6545">
      <w:pPr>
        <w:jc w:val="both"/>
        <w:rPr>
          <w:rFonts w:ascii="Times New Roman" w:eastAsia="SimSun" w:hAnsi="Times New Roman"/>
          <w:snapToGrid w:val="0"/>
          <w:kern w:val="3"/>
          <w:sz w:val="24"/>
          <w:szCs w:val="24"/>
          <w:lang w:eastAsia="zh-CN"/>
        </w:rPr>
      </w:pPr>
      <w:r w:rsidRPr="00182246">
        <w:rPr>
          <w:rFonts w:ascii="Times New Roman" w:eastAsia="SimSun" w:hAnsi="Times New Roman"/>
          <w:b/>
          <w:snapToGrid w:val="0"/>
          <w:kern w:val="3"/>
          <w:sz w:val="24"/>
          <w:szCs w:val="24"/>
          <w:highlight w:val="cyan"/>
          <w:lang w:val="sk-SK" w:eastAsia="zh-CN"/>
        </w:rPr>
        <w:br w:type="page"/>
      </w:r>
      <w:r w:rsidR="00FA6545" w:rsidRPr="00AF421D">
        <w:rPr>
          <w:rFonts w:ascii="Times New Roman" w:hAnsi="Times New Roman"/>
          <w:b/>
          <w:sz w:val="24"/>
          <w:szCs w:val="24"/>
          <w:lang w:val="sk-SK"/>
        </w:rPr>
        <w:lastRenderedPageBreak/>
        <w:t xml:space="preserve">Kľúčová akcia 3 </w:t>
      </w:r>
      <w:r w:rsidRPr="00FC3B13">
        <w:rPr>
          <w:rFonts w:ascii="Times New Roman" w:eastAsia="SimSun" w:hAnsi="Times New Roman"/>
          <w:snapToGrid w:val="0"/>
          <w:kern w:val="3"/>
          <w:sz w:val="24"/>
          <w:szCs w:val="24"/>
          <w:lang w:eastAsia="zh-CN"/>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49"/>
        <w:gridCol w:w="1549"/>
        <w:gridCol w:w="1597"/>
        <w:gridCol w:w="1611"/>
        <w:gridCol w:w="1629"/>
      </w:tblGrid>
      <w:tr w:rsidR="005C1EFB" w:rsidRPr="00FC3B13" w:rsidTr="00AA71B8">
        <w:trPr>
          <w:tblHeader/>
        </w:trPr>
        <w:tc>
          <w:tcPr>
            <w:tcW w:w="1725" w:type="dxa"/>
            <w:tcBorders>
              <w:bottom w:val="single" w:sz="4" w:space="0" w:color="auto"/>
            </w:tcBorders>
            <w:shd w:val="clear" w:color="auto" w:fill="auto"/>
          </w:tcPr>
          <w:p w:rsidR="005C1EFB" w:rsidRPr="00FC3B13" w:rsidRDefault="00B42935" w:rsidP="00AA71B8">
            <w:pPr>
              <w:rPr>
                <w:rFonts w:ascii="Times New Roman" w:eastAsia="SimSun" w:hAnsi="Times New Roman"/>
                <w:b/>
                <w:snapToGrid w:val="0"/>
                <w:kern w:val="3"/>
                <w:sz w:val="24"/>
                <w:szCs w:val="24"/>
                <w:lang w:val="sk-SK" w:eastAsia="zh-CN"/>
              </w:rPr>
            </w:pPr>
            <w:r w:rsidRPr="00FC3B13">
              <w:rPr>
                <w:rFonts w:ascii="Times New Roman" w:eastAsia="SimSun" w:hAnsi="Times New Roman"/>
                <w:b/>
                <w:snapToGrid w:val="0"/>
                <w:kern w:val="3"/>
                <w:sz w:val="24"/>
                <w:szCs w:val="24"/>
                <w:lang w:val="sk-SK" w:eastAsia="zh-CN"/>
              </w:rPr>
              <w:t>Rozpočtová kategória</w:t>
            </w:r>
          </w:p>
        </w:tc>
        <w:tc>
          <w:tcPr>
            <w:tcW w:w="1529" w:type="dxa"/>
            <w:shd w:val="clear" w:color="auto" w:fill="auto"/>
          </w:tcPr>
          <w:p w:rsidR="005C1EFB" w:rsidRPr="00FC3B13" w:rsidRDefault="00B42935" w:rsidP="00AA71B8">
            <w:pPr>
              <w:rPr>
                <w:rFonts w:ascii="Times New Roman" w:eastAsia="SimSun" w:hAnsi="Times New Roman"/>
                <w:b/>
                <w:snapToGrid w:val="0"/>
                <w:kern w:val="3"/>
                <w:sz w:val="24"/>
                <w:szCs w:val="24"/>
                <w:lang w:val="sk-SK" w:eastAsia="zh-CN"/>
              </w:rPr>
            </w:pPr>
            <w:r w:rsidRPr="00FC3B13">
              <w:rPr>
                <w:rFonts w:ascii="Times New Roman" w:eastAsia="SimSun" w:hAnsi="Times New Roman"/>
                <w:b/>
                <w:snapToGrid w:val="0"/>
                <w:kern w:val="3"/>
                <w:sz w:val="24"/>
                <w:szCs w:val="24"/>
                <w:lang w:val="sk-SK" w:eastAsia="zh-CN"/>
              </w:rPr>
              <w:t>Kontrola záverečnej správy</w:t>
            </w:r>
          </w:p>
        </w:tc>
        <w:tc>
          <w:tcPr>
            <w:tcW w:w="1530" w:type="dxa"/>
            <w:shd w:val="clear" w:color="auto" w:fill="auto"/>
          </w:tcPr>
          <w:p w:rsidR="005C1EFB" w:rsidRPr="00FC3B13" w:rsidRDefault="00B42935" w:rsidP="00AA71B8">
            <w:pPr>
              <w:rPr>
                <w:rFonts w:ascii="Times New Roman" w:eastAsia="SimSun" w:hAnsi="Times New Roman"/>
                <w:b/>
                <w:snapToGrid w:val="0"/>
                <w:kern w:val="3"/>
                <w:sz w:val="24"/>
                <w:szCs w:val="24"/>
                <w:lang w:val="sk-SK" w:eastAsia="zh-CN"/>
              </w:rPr>
            </w:pPr>
            <w:r w:rsidRPr="00FC3B13">
              <w:rPr>
                <w:rFonts w:ascii="Times New Roman" w:eastAsia="SimSun" w:hAnsi="Times New Roman"/>
                <w:b/>
                <w:snapToGrid w:val="0"/>
                <w:kern w:val="3"/>
                <w:sz w:val="24"/>
                <w:szCs w:val="24"/>
                <w:lang w:val="sk-SK" w:eastAsia="zh-CN"/>
              </w:rPr>
              <w:t>Hĺbková kontrola</w:t>
            </w:r>
          </w:p>
        </w:tc>
        <w:tc>
          <w:tcPr>
            <w:tcW w:w="1649" w:type="dxa"/>
            <w:shd w:val="clear" w:color="auto" w:fill="auto"/>
          </w:tcPr>
          <w:p w:rsidR="005C1EFB" w:rsidRPr="00FC3B13" w:rsidRDefault="00B42935" w:rsidP="00AA71B8">
            <w:pPr>
              <w:rPr>
                <w:rFonts w:ascii="Times New Roman" w:eastAsia="SimSun" w:hAnsi="Times New Roman"/>
                <w:b/>
                <w:snapToGrid w:val="0"/>
                <w:kern w:val="3"/>
                <w:sz w:val="24"/>
                <w:szCs w:val="24"/>
                <w:lang w:val="sk-SK" w:eastAsia="zh-CN"/>
              </w:rPr>
            </w:pPr>
            <w:r w:rsidRPr="00FC3B13">
              <w:rPr>
                <w:rFonts w:ascii="Times New Roman" w:eastAsia="SimSun" w:hAnsi="Times New Roman"/>
                <w:b/>
                <w:snapToGrid w:val="0"/>
                <w:kern w:val="3"/>
                <w:sz w:val="24"/>
                <w:szCs w:val="24"/>
                <w:lang w:val="sk-SK" w:eastAsia="zh-CN"/>
              </w:rPr>
              <w:t>Kontrola na mieste počas projektu</w:t>
            </w:r>
          </w:p>
        </w:tc>
        <w:tc>
          <w:tcPr>
            <w:tcW w:w="1667" w:type="dxa"/>
            <w:shd w:val="clear" w:color="auto" w:fill="auto"/>
          </w:tcPr>
          <w:p w:rsidR="005C1EFB" w:rsidRPr="00FC3B13" w:rsidRDefault="00B42935" w:rsidP="00AA71B8">
            <w:pPr>
              <w:rPr>
                <w:rFonts w:ascii="Times New Roman" w:eastAsia="SimSun" w:hAnsi="Times New Roman"/>
                <w:b/>
                <w:snapToGrid w:val="0"/>
                <w:kern w:val="3"/>
                <w:sz w:val="24"/>
                <w:szCs w:val="24"/>
                <w:lang w:val="sk-SK" w:eastAsia="zh-CN"/>
              </w:rPr>
            </w:pPr>
            <w:r w:rsidRPr="00FC3B13">
              <w:rPr>
                <w:rFonts w:ascii="Times New Roman" w:eastAsia="SimSun" w:hAnsi="Times New Roman"/>
                <w:b/>
                <w:snapToGrid w:val="0"/>
                <w:kern w:val="3"/>
                <w:sz w:val="24"/>
                <w:szCs w:val="24"/>
                <w:lang w:val="sk-SK" w:eastAsia="zh-CN"/>
              </w:rPr>
              <w:t>Systémová kontrola</w:t>
            </w:r>
          </w:p>
        </w:tc>
        <w:tc>
          <w:tcPr>
            <w:tcW w:w="1506" w:type="dxa"/>
            <w:shd w:val="clear" w:color="auto" w:fill="auto"/>
          </w:tcPr>
          <w:p w:rsidR="005C1EFB" w:rsidRPr="00FC3B13" w:rsidRDefault="00B42935" w:rsidP="00AA71B8">
            <w:pPr>
              <w:rPr>
                <w:rFonts w:ascii="Times New Roman" w:eastAsia="SimSun" w:hAnsi="Times New Roman"/>
                <w:b/>
                <w:snapToGrid w:val="0"/>
                <w:kern w:val="3"/>
                <w:sz w:val="24"/>
                <w:szCs w:val="24"/>
                <w:lang w:val="sk-SK" w:eastAsia="zh-CN"/>
              </w:rPr>
            </w:pPr>
            <w:r w:rsidRPr="00FC3B13">
              <w:rPr>
                <w:rFonts w:ascii="Times New Roman" w:eastAsia="SimSun" w:hAnsi="Times New Roman"/>
                <w:b/>
                <w:snapToGrid w:val="0"/>
                <w:kern w:val="3"/>
                <w:sz w:val="24"/>
                <w:szCs w:val="24"/>
                <w:lang w:val="sk-SK" w:eastAsia="zh-CN"/>
              </w:rPr>
              <w:t>Kontrola na mieste po ukončení projektu</w:t>
            </w:r>
          </w:p>
        </w:tc>
      </w:tr>
      <w:tr w:rsidR="005C1EFB" w:rsidRPr="00FC3B13" w:rsidTr="00AA71B8">
        <w:tc>
          <w:tcPr>
            <w:tcW w:w="1725" w:type="dxa"/>
            <w:shd w:val="clear" w:color="auto" w:fill="auto"/>
          </w:tcPr>
          <w:p w:rsidR="005C1EFB" w:rsidRPr="00FC3B13" w:rsidRDefault="00B42935" w:rsidP="00AA71B8">
            <w:pPr>
              <w:rPr>
                <w:rFonts w:ascii="Times New Roman" w:eastAsia="SimSun" w:hAnsi="Times New Roman"/>
                <w:b/>
                <w:snapToGrid w:val="0"/>
                <w:kern w:val="3"/>
                <w:sz w:val="24"/>
                <w:szCs w:val="24"/>
                <w:lang w:val="sk-SK" w:eastAsia="zh-CN"/>
              </w:rPr>
            </w:pPr>
            <w:r w:rsidRPr="00FC3B13">
              <w:rPr>
                <w:rFonts w:ascii="Times New Roman" w:eastAsia="SimSun" w:hAnsi="Times New Roman"/>
                <w:b/>
                <w:snapToGrid w:val="0"/>
                <w:kern w:val="3"/>
                <w:sz w:val="24"/>
                <w:szCs w:val="24"/>
                <w:lang w:val="sk-SK" w:eastAsia="zh-CN"/>
              </w:rPr>
              <w:t>Cesta</w:t>
            </w:r>
          </w:p>
        </w:tc>
        <w:tc>
          <w:tcPr>
            <w:tcW w:w="1529" w:type="dxa"/>
            <w:shd w:val="clear" w:color="auto" w:fill="auto"/>
          </w:tcPr>
          <w:p w:rsidR="005C1EFB" w:rsidRPr="00FC3B13" w:rsidRDefault="00B42935" w:rsidP="00AA71B8">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Záverečná správa</w:t>
            </w:r>
          </w:p>
        </w:tc>
        <w:tc>
          <w:tcPr>
            <w:tcW w:w="1530" w:type="dxa"/>
            <w:shd w:val="clear" w:color="auto" w:fill="auto"/>
          </w:tcPr>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 xml:space="preserve">Záverečná správa </w:t>
            </w:r>
          </w:p>
          <w:p w:rsidR="005C1EFB"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Podporné dokumenty špecifikované v článku II.16.2</w:t>
            </w:r>
          </w:p>
        </w:tc>
        <w:tc>
          <w:tcPr>
            <w:tcW w:w="1649" w:type="dxa"/>
            <w:shd w:val="clear" w:color="auto" w:fill="auto"/>
          </w:tcPr>
          <w:p w:rsidR="005C1EFB" w:rsidRPr="00FC3B13" w:rsidRDefault="00B42935" w:rsidP="00AA71B8">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Skutočnosť a oprávnenosť aktivity a účastníkov</w:t>
            </w:r>
          </w:p>
        </w:tc>
        <w:tc>
          <w:tcPr>
            <w:tcW w:w="1667" w:type="dxa"/>
            <w:shd w:val="clear" w:color="auto" w:fill="auto"/>
          </w:tcPr>
          <w:p w:rsidR="005C1EFB" w:rsidRPr="00FC3B13" w:rsidRDefault="00B42935" w:rsidP="00AA71B8">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Skutočnosť a oprávnenosť aktivity a účastníkov</w:t>
            </w:r>
          </w:p>
        </w:tc>
        <w:tc>
          <w:tcPr>
            <w:tcW w:w="1506" w:type="dxa"/>
            <w:shd w:val="clear" w:color="auto" w:fill="auto"/>
          </w:tcPr>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 xml:space="preserve">Záverečná správa </w:t>
            </w:r>
          </w:p>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Podporné dokumenty špecifikované v článku II.16.2</w:t>
            </w:r>
          </w:p>
          <w:p w:rsidR="005C1EFB"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Zaznamovanie projektových nákladov v účtovníctve príjemcu</w:t>
            </w:r>
          </w:p>
        </w:tc>
      </w:tr>
      <w:tr w:rsidR="00B42935" w:rsidRPr="00FC3B13" w:rsidTr="00AA71B8">
        <w:tc>
          <w:tcPr>
            <w:tcW w:w="1725" w:type="dxa"/>
            <w:shd w:val="clear" w:color="auto" w:fill="auto"/>
          </w:tcPr>
          <w:p w:rsidR="00B42935" w:rsidRPr="00FC3B13" w:rsidRDefault="00B42935" w:rsidP="00B42935">
            <w:pPr>
              <w:rPr>
                <w:rFonts w:ascii="Times New Roman" w:eastAsia="SimSun" w:hAnsi="Times New Roman"/>
                <w:b/>
                <w:snapToGrid w:val="0"/>
                <w:kern w:val="3"/>
                <w:sz w:val="24"/>
                <w:szCs w:val="24"/>
                <w:lang w:val="sk-SK" w:eastAsia="zh-CN"/>
              </w:rPr>
            </w:pPr>
            <w:r w:rsidRPr="00FC3B13">
              <w:rPr>
                <w:rFonts w:ascii="Times New Roman" w:eastAsia="SimSun" w:hAnsi="Times New Roman"/>
                <w:b/>
                <w:snapToGrid w:val="0"/>
                <w:kern w:val="3"/>
                <w:sz w:val="24"/>
                <w:szCs w:val="24"/>
                <w:lang w:val="sk-SK" w:eastAsia="zh-CN"/>
              </w:rPr>
              <w:t>Podpora na organizáciu</w:t>
            </w:r>
          </w:p>
        </w:tc>
        <w:tc>
          <w:tcPr>
            <w:tcW w:w="1529" w:type="dxa"/>
            <w:shd w:val="clear" w:color="auto" w:fill="auto"/>
          </w:tcPr>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Záverečná správa</w:t>
            </w:r>
          </w:p>
        </w:tc>
        <w:tc>
          <w:tcPr>
            <w:tcW w:w="1530" w:type="dxa"/>
            <w:shd w:val="clear" w:color="auto" w:fill="auto"/>
          </w:tcPr>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 xml:space="preserve">Záverečná správa </w:t>
            </w:r>
          </w:p>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Podporné dokumenty špecifikované v článku II.16.2</w:t>
            </w:r>
          </w:p>
        </w:tc>
        <w:tc>
          <w:tcPr>
            <w:tcW w:w="1649" w:type="dxa"/>
            <w:shd w:val="clear" w:color="auto" w:fill="auto"/>
          </w:tcPr>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Skutočnosť a oprávnenosť aktivity a účastníkov</w:t>
            </w:r>
          </w:p>
        </w:tc>
        <w:tc>
          <w:tcPr>
            <w:tcW w:w="1667" w:type="dxa"/>
            <w:shd w:val="clear" w:color="auto" w:fill="auto"/>
          </w:tcPr>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Skutočnosť a oprávnenosť aktivity a účastníkov</w:t>
            </w:r>
          </w:p>
        </w:tc>
        <w:tc>
          <w:tcPr>
            <w:tcW w:w="1506" w:type="dxa"/>
            <w:shd w:val="clear" w:color="auto" w:fill="auto"/>
          </w:tcPr>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 xml:space="preserve">Záverečná správa </w:t>
            </w:r>
          </w:p>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Podporné dokumenty špecifikované v článku II.16.2</w:t>
            </w:r>
          </w:p>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Zaznamovanie projektových nákladov v účtovníctve príjemcu</w:t>
            </w:r>
          </w:p>
        </w:tc>
      </w:tr>
      <w:tr w:rsidR="00B42935" w:rsidRPr="00FC3B13" w:rsidTr="00AA71B8">
        <w:tc>
          <w:tcPr>
            <w:tcW w:w="1725" w:type="dxa"/>
            <w:shd w:val="clear" w:color="auto" w:fill="auto"/>
          </w:tcPr>
          <w:p w:rsidR="00B42935" w:rsidRPr="00FC3B13" w:rsidRDefault="00B42935" w:rsidP="00B42935">
            <w:pPr>
              <w:jc w:val="both"/>
              <w:rPr>
                <w:rFonts w:ascii="Times New Roman" w:hAnsi="Times New Roman"/>
                <w:sz w:val="24"/>
                <w:szCs w:val="24"/>
                <w:lang w:val="sk-SK"/>
              </w:rPr>
            </w:pPr>
            <w:r w:rsidRPr="00FC3B13">
              <w:rPr>
                <w:rFonts w:ascii="Times New Roman" w:hAnsi="Times New Roman"/>
                <w:sz w:val="24"/>
                <w:szCs w:val="24"/>
                <w:lang w:val="sk-SK"/>
              </w:rPr>
              <w:t xml:space="preserve">Podpora na špeciálne potreby </w:t>
            </w:r>
          </w:p>
          <w:p w:rsidR="00B42935" w:rsidRPr="00FC3B13" w:rsidRDefault="00B42935" w:rsidP="00B42935">
            <w:pPr>
              <w:rPr>
                <w:rFonts w:ascii="Times New Roman" w:eastAsia="SimSun" w:hAnsi="Times New Roman"/>
                <w:b/>
                <w:snapToGrid w:val="0"/>
                <w:kern w:val="3"/>
                <w:sz w:val="24"/>
                <w:szCs w:val="24"/>
                <w:lang w:val="sk-SK" w:eastAsia="zh-CN"/>
              </w:rPr>
            </w:pPr>
          </w:p>
        </w:tc>
        <w:tc>
          <w:tcPr>
            <w:tcW w:w="1529" w:type="dxa"/>
            <w:shd w:val="clear" w:color="auto" w:fill="auto"/>
          </w:tcPr>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Záverečná správa</w:t>
            </w:r>
          </w:p>
        </w:tc>
        <w:tc>
          <w:tcPr>
            <w:tcW w:w="1530" w:type="dxa"/>
            <w:shd w:val="clear" w:color="auto" w:fill="auto"/>
          </w:tcPr>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 xml:space="preserve">Záverečná správa </w:t>
            </w:r>
          </w:p>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Podporné dokumenty špecifikované v článku II.16.4</w:t>
            </w:r>
          </w:p>
        </w:tc>
        <w:tc>
          <w:tcPr>
            <w:tcW w:w="1649" w:type="dxa"/>
            <w:shd w:val="clear" w:color="auto" w:fill="auto"/>
          </w:tcPr>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Skutočnosť a oprávnenosť aktivity a účastníkov</w:t>
            </w:r>
          </w:p>
        </w:tc>
        <w:tc>
          <w:tcPr>
            <w:tcW w:w="1667" w:type="dxa"/>
            <w:shd w:val="clear" w:color="auto" w:fill="auto"/>
          </w:tcPr>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 xml:space="preserve">Skutočnosť a oprávnenosť aktivity a účastníkov </w:t>
            </w:r>
          </w:p>
        </w:tc>
        <w:tc>
          <w:tcPr>
            <w:tcW w:w="1506" w:type="dxa"/>
            <w:shd w:val="clear" w:color="auto" w:fill="auto"/>
          </w:tcPr>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 xml:space="preserve">Záverečná správa </w:t>
            </w:r>
          </w:p>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Podporné dokumenty špecifikované v článku II.16.4</w:t>
            </w:r>
          </w:p>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lastRenderedPageBreak/>
              <w:t>Zaznamovanie projektových nákladov v účtovníctve príjemcu</w:t>
            </w:r>
          </w:p>
        </w:tc>
      </w:tr>
      <w:tr w:rsidR="00B42935" w:rsidRPr="00FC3B13" w:rsidTr="00AA71B8">
        <w:tc>
          <w:tcPr>
            <w:tcW w:w="1725" w:type="dxa"/>
            <w:shd w:val="clear" w:color="auto" w:fill="auto"/>
          </w:tcPr>
          <w:p w:rsidR="00B42935" w:rsidRPr="00FC3B13" w:rsidRDefault="00B42935" w:rsidP="00B42935">
            <w:pPr>
              <w:rPr>
                <w:rFonts w:ascii="Times New Roman" w:eastAsia="SimSun" w:hAnsi="Times New Roman"/>
                <w:b/>
                <w:snapToGrid w:val="0"/>
                <w:kern w:val="3"/>
                <w:sz w:val="24"/>
                <w:szCs w:val="24"/>
                <w:lang w:val="sk-SK" w:eastAsia="zh-CN"/>
              </w:rPr>
            </w:pPr>
            <w:r w:rsidRPr="00FC3B13">
              <w:rPr>
                <w:rFonts w:ascii="Times New Roman" w:eastAsia="SimSun" w:hAnsi="Times New Roman"/>
                <w:b/>
                <w:snapToGrid w:val="0"/>
                <w:kern w:val="3"/>
                <w:sz w:val="24"/>
                <w:szCs w:val="24"/>
                <w:lang w:val="sk-SK" w:eastAsia="zh-CN"/>
              </w:rPr>
              <w:lastRenderedPageBreak/>
              <w:t>Mimoriadne náklady</w:t>
            </w:r>
          </w:p>
        </w:tc>
        <w:tc>
          <w:tcPr>
            <w:tcW w:w="1529" w:type="dxa"/>
            <w:shd w:val="clear" w:color="auto" w:fill="auto"/>
          </w:tcPr>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 xml:space="preserve">Záverečná správa </w:t>
            </w:r>
          </w:p>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Podporné dokumenty špecifikované v článku II.16.2</w:t>
            </w:r>
          </w:p>
        </w:tc>
        <w:tc>
          <w:tcPr>
            <w:tcW w:w="1530" w:type="dxa"/>
            <w:shd w:val="clear" w:color="auto" w:fill="auto"/>
          </w:tcPr>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 xml:space="preserve">Záverečná správa </w:t>
            </w:r>
          </w:p>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Podporné dokumenty špecifikované v článku II.16.4</w:t>
            </w:r>
          </w:p>
        </w:tc>
        <w:tc>
          <w:tcPr>
            <w:tcW w:w="1649" w:type="dxa"/>
            <w:shd w:val="clear" w:color="auto" w:fill="auto"/>
          </w:tcPr>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Skutočnosť a oprávnenosť aktivity a účastníkov</w:t>
            </w:r>
          </w:p>
        </w:tc>
        <w:tc>
          <w:tcPr>
            <w:tcW w:w="1667" w:type="dxa"/>
            <w:shd w:val="clear" w:color="auto" w:fill="auto"/>
          </w:tcPr>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 xml:space="preserve">Skutočnosť a oprávnenosť aktivity a účastníkov </w:t>
            </w:r>
          </w:p>
        </w:tc>
        <w:tc>
          <w:tcPr>
            <w:tcW w:w="1506" w:type="dxa"/>
            <w:shd w:val="clear" w:color="auto" w:fill="auto"/>
          </w:tcPr>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 xml:space="preserve">Záverečná správa </w:t>
            </w:r>
          </w:p>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Podporné dokumenty špecifikované v článku II.16.4</w:t>
            </w:r>
          </w:p>
          <w:p w:rsidR="00B42935" w:rsidRPr="00FC3B13" w:rsidRDefault="00B42935" w:rsidP="00B42935">
            <w:pPr>
              <w:rPr>
                <w:rFonts w:ascii="Times New Roman" w:eastAsia="SimSun" w:hAnsi="Times New Roman"/>
                <w:snapToGrid w:val="0"/>
                <w:kern w:val="3"/>
                <w:sz w:val="24"/>
                <w:szCs w:val="24"/>
                <w:lang w:val="sk-SK" w:eastAsia="zh-CN"/>
              </w:rPr>
            </w:pPr>
            <w:r w:rsidRPr="00FC3B13">
              <w:rPr>
                <w:rFonts w:ascii="Times New Roman" w:eastAsia="SimSun" w:hAnsi="Times New Roman"/>
                <w:snapToGrid w:val="0"/>
                <w:kern w:val="3"/>
                <w:sz w:val="24"/>
                <w:szCs w:val="24"/>
                <w:lang w:val="sk-SK" w:eastAsia="zh-CN"/>
              </w:rPr>
              <w:t>Zaznamovanie projektových nákladov v účtovníctve príjemcu</w:t>
            </w:r>
          </w:p>
        </w:tc>
      </w:tr>
    </w:tbl>
    <w:p w:rsidR="005C1EFB" w:rsidRPr="00FC3B13" w:rsidRDefault="005C1EFB" w:rsidP="005C1EFB">
      <w:pPr>
        <w:rPr>
          <w:rFonts w:ascii="Times New Roman" w:eastAsia="SimSun" w:hAnsi="Times New Roman"/>
          <w:snapToGrid w:val="0"/>
          <w:kern w:val="3"/>
          <w:sz w:val="24"/>
          <w:szCs w:val="24"/>
          <w:lang w:val="sk-SK" w:eastAsia="zh-CN"/>
        </w:rPr>
      </w:pPr>
    </w:p>
    <w:p w:rsidR="005C1EFB" w:rsidRPr="00FC3B13" w:rsidRDefault="005C1EFB" w:rsidP="005C1EFB">
      <w:pPr>
        <w:jc w:val="both"/>
        <w:rPr>
          <w:rFonts w:ascii="Times New Roman" w:eastAsia="SimSun" w:hAnsi="Times New Roman"/>
          <w:snapToGrid w:val="0"/>
          <w:kern w:val="3"/>
          <w:sz w:val="24"/>
          <w:szCs w:val="24"/>
          <w:lang w:val="sk-SK" w:eastAsia="zh-CN"/>
        </w:rPr>
      </w:pPr>
    </w:p>
    <w:p w:rsidR="00194F8E" w:rsidRPr="00B42935" w:rsidRDefault="00194F8E">
      <w:pPr>
        <w:rPr>
          <w:lang w:val="sk-SK"/>
        </w:rPr>
      </w:pPr>
    </w:p>
    <w:sectPr w:rsidR="00194F8E" w:rsidRPr="00B42935" w:rsidSect="006307D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3C0" w:rsidRDefault="005A53C0" w:rsidP="005C1EFB">
      <w:pPr>
        <w:spacing w:after="0" w:line="240" w:lineRule="auto"/>
      </w:pPr>
      <w:r>
        <w:separator/>
      </w:r>
    </w:p>
  </w:endnote>
  <w:endnote w:type="continuationSeparator" w:id="0">
    <w:p w:rsidR="005A53C0" w:rsidRDefault="005A53C0" w:rsidP="005C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24" w:rsidRDefault="00625E24">
    <w:pPr>
      <w:pStyle w:val="Pta"/>
      <w:jc w:val="center"/>
    </w:pPr>
    <w:r>
      <w:fldChar w:fldCharType="begin"/>
    </w:r>
    <w:r>
      <w:instrText xml:space="preserve"> PAGE   \* MERGEFORMAT </w:instrText>
    </w:r>
    <w:r>
      <w:fldChar w:fldCharType="separate"/>
    </w:r>
    <w:r w:rsidR="00FA6545">
      <w:rPr>
        <w:noProof/>
      </w:rPr>
      <w:t>1</w:t>
    </w:r>
    <w:r>
      <w:rPr>
        <w:noProof/>
      </w:rPr>
      <w:fldChar w:fldCharType="end"/>
    </w:r>
  </w:p>
  <w:p w:rsidR="00625E24" w:rsidRDefault="00625E2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3C0" w:rsidRDefault="005A53C0" w:rsidP="005C1EFB">
      <w:pPr>
        <w:spacing w:after="0" w:line="240" w:lineRule="auto"/>
      </w:pPr>
      <w:r>
        <w:separator/>
      </w:r>
    </w:p>
  </w:footnote>
  <w:footnote w:type="continuationSeparator" w:id="0">
    <w:p w:rsidR="005A53C0" w:rsidRDefault="005A53C0" w:rsidP="005C1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16DE3"/>
    <w:multiLevelType w:val="hybridMultilevel"/>
    <w:tmpl w:val="BC0485E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A25636B"/>
    <w:multiLevelType w:val="hybridMultilevel"/>
    <w:tmpl w:val="D286EDD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126057F"/>
    <w:multiLevelType w:val="hybridMultilevel"/>
    <w:tmpl w:val="BA9C6D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8996E9F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1435E"/>
    <w:multiLevelType w:val="hybridMultilevel"/>
    <w:tmpl w:val="419C7E98"/>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15382887"/>
    <w:multiLevelType w:val="hybridMultilevel"/>
    <w:tmpl w:val="04A0BE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939519A"/>
    <w:multiLevelType w:val="hybridMultilevel"/>
    <w:tmpl w:val="D8BAE524"/>
    <w:lvl w:ilvl="0" w:tplc="253E0F7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00743C"/>
    <w:multiLevelType w:val="hybridMultilevel"/>
    <w:tmpl w:val="FB34B884"/>
    <w:lvl w:ilvl="0" w:tplc="253E0F78">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1D4BAA"/>
    <w:multiLevelType w:val="hybridMultilevel"/>
    <w:tmpl w:val="6ACA2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0212C2"/>
    <w:multiLevelType w:val="hybridMultilevel"/>
    <w:tmpl w:val="847054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D766224"/>
    <w:multiLevelType w:val="hybridMultilevel"/>
    <w:tmpl w:val="A5368A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19F02A2"/>
    <w:multiLevelType w:val="hybridMultilevel"/>
    <w:tmpl w:val="6310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501E71"/>
    <w:multiLevelType w:val="hybridMultilevel"/>
    <w:tmpl w:val="8F04F2C0"/>
    <w:lvl w:ilvl="0" w:tplc="36108808">
      <w:start w:val="1"/>
      <w:numFmt w:val="lowerRoman"/>
      <w:lvlText w:val="%1)"/>
      <w:lvlJc w:val="left"/>
      <w:pPr>
        <w:ind w:left="720" w:hanging="360"/>
      </w:pPr>
      <w:rPr>
        <w:rFonts w:cs="Times New Roman"/>
        <w:color w:val="00000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31FD7362"/>
    <w:multiLevelType w:val="hybridMultilevel"/>
    <w:tmpl w:val="AC32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036364"/>
    <w:multiLevelType w:val="hybridMultilevel"/>
    <w:tmpl w:val="8CEA5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97705B"/>
    <w:multiLevelType w:val="hybridMultilevel"/>
    <w:tmpl w:val="233E5E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1F498F"/>
    <w:multiLevelType w:val="hybridMultilevel"/>
    <w:tmpl w:val="3EEE893C"/>
    <w:lvl w:ilvl="0" w:tplc="6686A22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4F92603"/>
    <w:multiLevelType w:val="hybridMultilevel"/>
    <w:tmpl w:val="70A86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847583"/>
    <w:multiLevelType w:val="hybridMultilevel"/>
    <w:tmpl w:val="19F4E8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E645F66"/>
    <w:multiLevelType w:val="hybridMultilevel"/>
    <w:tmpl w:val="70A86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827E8B"/>
    <w:multiLevelType w:val="hybridMultilevel"/>
    <w:tmpl w:val="BA9C6D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8996E9F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DA7BCE"/>
    <w:multiLevelType w:val="hybridMultilevel"/>
    <w:tmpl w:val="DC4CD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E96079"/>
    <w:multiLevelType w:val="hybridMultilevel"/>
    <w:tmpl w:val="0890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1B2D50"/>
    <w:multiLevelType w:val="hybridMultilevel"/>
    <w:tmpl w:val="074C53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EBB2606"/>
    <w:multiLevelType w:val="hybridMultilevel"/>
    <w:tmpl w:val="D8BAE524"/>
    <w:lvl w:ilvl="0" w:tplc="253E0F7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21"/>
  </w:num>
  <w:num w:numId="4">
    <w:abstractNumId w:val="5"/>
  </w:num>
  <w:num w:numId="5">
    <w:abstractNumId w:val="4"/>
  </w:num>
  <w:num w:numId="6">
    <w:abstractNumId w:val="23"/>
  </w:num>
  <w:num w:numId="7">
    <w:abstractNumId w:val="2"/>
  </w:num>
  <w:num w:numId="8">
    <w:abstractNumId w:val="15"/>
  </w:num>
  <w:num w:numId="9">
    <w:abstractNumId w:val="6"/>
  </w:num>
  <w:num w:numId="10">
    <w:abstractNumId w:val="24"/>
  </w:num>
  <w:num w:numId="11">
    <w:abstractNumId w:val="19"/>
  </w:num>
  <w:num w:numId="12">
    <w:abstractNumId w:val="17"/>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4"/>
  </w:num>
  <w:num w:numId="18">
    <w:abstractNumId w:val="12"/>
  </w:num>
  <w:num w:numId="19">
    <w:abstractNumId w:val="8"/>
  </w:num>
  <w:num w:numId="20">
    <w:abstractNumId w:val="9"/>
  </w:num>
  <w:num w:numId="21">
    <w:abstractNumId w:val="22"/>
  </w:num>
  <w:num w:numId="22">
    <w:abstractNumId w:val="13"/>
  </w:num>
  <w:num w:numId="23">
    <w:abstractNumId w:val="16"/>
  </w:num>
  <w:num w:numId="24">
    <w:abstractNumId w:val="18"/>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FB"/>
    <w:rsid w:val="000669F3"/>
    <w:rsid w:val="000E25EA"/>
    <w:rsid w:val="000F4FD1"/>
    <w:rsid w:val="00122240"/>
    <w:rsid w:val="00194137"/>
    <w:rsid w:val="00194F8E"/>
    <w:rsid w:val="00215E05"/>
    <w:rsid w:val="00270551"/>
    <w:rsid w:val="00301953"/>
    <w:rsid w:val="003120C8"/>
    <w:rsid w:val="00343EC6"/>
    <w:rsid w:val="00352492"/>
    <w:rsid w:val="003D16A6"/>
    <w:rsid w:val="00487E7F"/>
    <w:rsid w:val="004A3A12"/>
    <w:rsid w:val="004A585A"/>
    <w:rsid w:val="004B43F8"/>
    <w:rsid w:val="004C3C08"/>
    <w:rsid w:val="004D1C5C"/>
    <w:rsid w:val="00523B0B"/>
    <w:rsid w:val="0056571D"/>
    <w:rsid w:val="005A53C0"/>
    <w:rsid w:val="005C1EFB"/>
    <w:rsid w:val="00625E24"/>
    <w:rsid w:val="006307D1"/>
    <w:rsid w:val="00667D3A"/>
    <w:rsid w:val="006B0AE3"/>
    <w:rsid w:val="006E0B9E"/>
    <w:rsid w:val="006E283E"/>
    <w:rsid w:val="00775F6C"/>
    <w:rsid w:val="007B6ABB"/>
    <w:rsid w:val="007F63E2"/>
    <w:rsid w:val="007F7EFE"/>
    <w:rsid w:val="00832487"/>
    <w:rsid w:val="00855282"/>
    <w:rsid w:val="009419EA"/>
    <w:rsid w:val="009C0F27"/>
    <w:rsid w:val="009E4AD1"/>
    <w:rsid w:val="00A2681F"/>
    <w:rsid w:val="00A6763A"/>
    <w:rsid w:val="00A731EF"/>
    <w:rsid w:val="00AA71B8"/>
    <w:rsid w:val="00AD25B8"/>
    <w:rsid w:val="00AE1E5A"/>
    <w:rsid w:val="00AE70BF"/>
    <w:rsid w:val="00AF421D"/>
    <w:rsid w:val="00B14583"/>
    <w:rsid w:val="00B41093"/>
    <w:rsid w:val="00B42935"/>
    <w:rsid w:val="00B44327"/>
    <w:rsid w:val="00C04162"/>
    <w:rsid w:val="00C078BA"/>
    <w:rsid w:val="00D266E6"/>
    <w:rsid w:val="00D757A0"/>
    <w:rsid w:val="00DA0844"/>
    <w:rsid w:val="00DD0EAA"/>
    <w:rsid w:val="00E07EC4"/>
    <w:rsid w:val="00E67B09"/>
    <w:rsid w:val="00E76A52"/>
    <w:rsid w:val="00EE24E7"/>
    <w:rsid w:val="00EF465F"/>
    <w:rsid w:val="00FA6545"/>
    <w:rsid w:val="00FC3B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16A6B-46D5-424C-BBEC-1DFE00F0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C1EFB"/>
    <w:rPr>
      <w:rFonts w:ascii="Calibri" w:eastAsia="Calibri" w:hAnsi="Calibri" w:cs="Times New Roman"/>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C1EFB"/>
    <w:pPr>
      <w:tabs>
        <w:tab w:val="center" w:pos="4536"/>
        <w:tab w:val="right" w:pos="9072"/>
      </w:tabs>
    </w:pPr>
  </w:style>
  <w:style w:type="character" w:customStyle="1" w:styleId="HlavikaChar">
    <w:name w:val="Hlavička Char"/>
    <w:basedOn w:val="Predvolenpsmoodseku"/>
    <w:link w:val="Hlavika"/>
    <w:uiPriority w:val="99"/>
    <w:rsid w:val="005C1EFB"/>
    <w:rPr>
      <w:rFonts w:ascii="Calibri" w:eastAsia="Calibri" w:hAnsi="Calibri" w:cs="Times New Roman"/>
    </w:rPr>
  </w:style>
  <w:style w:type="paragraph" w:styleId="Pta">
    <w:name w:val="footer"/>
    <w:basedOn w:val="Normlny"/>
    <w:link w:val="PtaChar"/>
    <w:uiPriority w:val="99"/>
    <w:unhideWhenUsed/>
    <w:rsid w:val="005C1EFB"/>
    <w:pPr>
      <w:tabs>
        <w:tab w:val="center" w:pos="4536"/>
        <w:tab w:val="right" w:pos="9072"/>
      </w:tabs>
    </w:pPr>
  </w:style>
  <w:style w:type="character" w:customStyle="1" w:styleId="PtaChar">
    <w:name w:val="Päta Char"/>
    <w:basedOn w:val="Predvolenpsmoodseku"/>
    <w:link w:val="Pta"/>
    <w:uiPriority w:val="99"/>
    <w:rsid w:val="005C1EFB"/>
    <w:rPr>
      <w:rFonts w:ascii="Calibri" w:eastAsia="Calibri" w:hAnsi="Calibri" w:cs="Times New Roman"/>
    </w:rPr>
  </w:style>
  <w:style w:type="paragraph" w:styleId="Textbubliny">
    <w:name w:val="Balloon Text"/>
    <w:basedOn w:val="Normlny"/>
    <w:link w:val="TextbublinyChar"/>
    <w:uiPriority w:val="99"/>
    <w:semiHidden/>
    <w:unhideWhenUsed/>
    <w:rsid w:val="005C1EFB"/>
    <w:pPr>
      <w:spacing w:after="0" w:line="240" w:lineRule="auto"/>
    </w:pPr>
    <w:rPr>
      <w:rFonts w:ascii="Tahoma" w:hAnsi="Tahoma"/>
      <w:sz w:val="16"/>
      <w:szCs w:val="16"/>
    </w:rPr>
  </w:style>
  <w:style w:type="character" w:customStyle="1" w:styleId="TextbublinyChar">
    <w:name w:val="Text bubliny Char"/>
    <w:basedOn w:val="Predvolenpsmoodseku"/>
    <w:link w:val="Textbubliny"/>
    <w:uiPriority w:val="99"/>
    <w:semiHidden/>
    <w:rsid w:val="005C1EFB"/>
    <w:rPr>
      <w:rFonts w:ascii="Tahoma" w:eastAsia="Calibri" w:hAnsi="Tahoma" w:cs="Times New Roman"/>
      <w:sz w:val="16"/>
      <w:szCs w:val="16"/>
    </w:rPr>
  </w:style>
  <w:style w:type="paragraph" w:styleId="Textpoznmkypodiarou">
    <w:name w:val="footnote text"/>
    <w:basedOn w:val="Normlny"/>
    <w:link w:val="TextpoznmkypodiarouChar"/>
    <w:uiPriority w:val="99"/>
    <w:semiHidden/>
    <w:unhideWhenUsed/>
    <w:rsid w:val="005C1EFB"/>
    <w:rPr>
      <w:sz w:val="20"/>
      <w:szCs w:val="20"/>
    </w:rPr>
  </w:style>
  <w:style w:type="character" w:customStyle="1" w:styleId="TextpoznmkypodiarouChar">
    <w:name w:val="Text poznámky pod čiarou Char"/>
    <w:basedOn w:val="Predvolenpsmoodseku"/>
    <w:link w:val="Textpoznmkypodiarou"/>
    <w:uiPriority w:val="99"/>
    <w:semiHidden/>
    <w:rsid w:val="005C1EFB"/>
    <w:rPr>
      <w:rFonts w:ascii="Calibri" w:eastAsia="Calibri" w:hAnsi="Calibri" w:cs="Times New Roman"/>
      <w:sz w:val="20"/>
      <w:szCs w:val="20"/>
    </w:rPr>
  </w:style>
  <w:style w:type="character" w:styleId="Odkaznapoznmkupodiarou">
    <w:name w:val="footnote reference"/>
    <w:uiPriority w:val="99"/>
    <w:semiHidden/>
    <w:unhideWhenUsed/>
    <w:rsid w:val="005C1EFB"/>
    <w:rPr>
      <w:vertAlign w:val="superscript"/>
    </w:rPr>
  </w:style>
  <w:style w:type="paragraph" w:styleId="Odsekzoznamu">
    <w:name w:val="List Paragraph"/>
    <w:basedOn w:val="Normlny"/>
    <w:uiPriority w:val="34"/>
    <w:qFormat/>
    <w:rsid w:val="005C1EFB"/>
    <w:pPr>
      <w:spacing w:after="0" w:line="240" w:lineRule="auto"/>
      <w:ind w:left="720"/>
    </w:pPr>
    <w:rPr>
      <w:rFonts w:eastAsia="SimSun" w:cs="Calibri"/>
    </w:rPr>
  </w:style>
  <w:style w:type="character" w:styleId="Odkaznakomentr">
    <w:name w:val="annotation reference"/>
    <w:uiPriority w:val="99"/>
    <w:semiHidden/>
    <w:unhideWhenUsed/>
    <w:rsid w:val="005C1EFB"/>
    <w:rPr>
      <w:sz w:val="16"/>
      <w:szCs w:val="16"/>
    </w:rPr>
  </w:style>
  <w:style w:type="paragraph" w:styleId="Textkomentra">
    <w:name w:val="annotation text"/>
    <w:basedOn w:val="Normlny"/>
    <w:link w:val="TextkomentraChar"/>
    <w:uiPriority w:val="99"/>
    <w:semiHidden/>
    <w:unhideWhenUsed/>
    <w:rsid w:val="005C1EFB"/>
    <w:rPr>
      <w:sz w:val="20"/>
      <w:szCs w:val="20"/>
    </w:rPr>
  </w:style>
  <w:style w:type="character" w:customStyle="1" w:styleId="TextkomentraChar">
    <w:name w:val="Text komentára Char"/>
    <w:basedOn w:val="Predvolenpsmoodseku"/>
    <w:link w:val="Textkomentra"/>
    <w:uiPriority w:val="99"/>
    <w:semiHidden/>
    <w:rsid w:val="005C1EFB"/>
    <w:rPr>
      <w:rFonts w:ascii="Calibri" w:eastAsia="Calibri" w:hAnsi="Calibri" w:cs="Times New Roman"/>
      <w:sz w:val="20"/>
      <w:szCs w:val="20"/>
      <w:lang w:val="en-GB"/>
    </w:rPr>
  </w:style>
  <w:style w:type="paragraph" w:styleId="Predmetkomentra">
    <w:name w:val="annotation subject"/>
    <w:basedOn w:val="Textkomentra"/>
    <w:next w:val="Textkomentra"/>
    <w:link w:val="PredmetkomentraChar"/>
    <w:uiPriority w:val="99"/>
    <w:semiHidden/>
    <w:unhideWhenUsed/>
    <w:rsid w:val="005C1EFB"/>
    <w:rPr>
      <w:b/>
      <w:bCs/>
    </w:rPr>
  </w:style>
  <w:style w:type="character" w:customStyle="1" w:styleId="PredmetkomentraChar">
    <w:name w:val="Predmet komentára Char"/>
    <w:basedOn w:val="TextkomentraChar"/>
    <w:link w:val="Predmetkomentra"/>
    <w:uiPriority w:val="99"/>
    <w:semiHidden/>
    <w:rsid w:val="005C1EFB"/>
    <w:rPr>
      <w:rFonts w:ascii="Calibri" w:eastAsia="Calibri" w:hAnsi="Calibri" w:cs="Times New Roman"/>
      <w:b/>
      <w:bCs/>
      <w:sz w:val="20"/>
      <w:szCs w:val="20"/>
      <w:lang w:val="en-GB"/>
    </w:rPr>
  </w:style>
  <w:style w:type="table" w:styleId="Mriekatabuky">
    <w:name w:val="Table Grid"/>
    <w:basedOn w:val="Normlnatabuka"/>
    <w:uiPriority w:val="59"/>
    <w:rsid w:val="005C1EFB"/>
    <w:pPr>
      <w:spacing w:after="0" w:line="240" w:lineRule="auto"/>
    </w:pPr>
    <w:rPr>
      <w:rFonts w:ascii="Calibri" w:eastAsia="Calibri"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5C1EFB"/>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8EB06-C304-4F01-B543-1CA50DC6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1512</Words>
  <Characters>8622</Characters>
  <Application>Microsoft Office Word</Application>
  <DocSecurity>0</DocSecurity>
  <Lines>71</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Augustinská</dc:creator>
  <cp:lastModifiedBy>Peter Kupec</cp:lastModifiedBy>
  <cp:revision>5</cp:revision>
  <dcterms:created xsi:type="dcterms:W3CDTF">2014-07-24T13:52:00Z</dcterms:created>
  <dcterms:modified xsi:type="dcterms:W3CDTF">2014-08-19T07:57:00Z</dcterms:modified>
</cp:coreProperties>
</file>