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93C52" w14:textId="77777777" w:rsidR="004D0497" w:rsidRPr="00823E94" w:rsidRDefault="004D0497" w:rsidP="00823E9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sz w:val="24"/>
          <w:szCs w:val="24"/>
          <w:lang w:val="sk-SK"/>
        </w:rPr>
        <w:t>PRÍLOHA III – FINANČNÉ A ZMLUVNÉ PRAVIDLÁ</w:t>
      </w:r>
    </w:p>
    <w:p w14:paraId="6FFC07C1" w14:textId="77777777" w:rsidR="00E1127F" w:rsidRPr="00823E94" w:rsidRDefault="00E1127F" w:rsidP="00823E94">
      <w:pPr>
        <w:pStyle w:val="ListBullet"/>
        <w:spacing w:after="120" w:line="240" w:lineRule="auto"/>
        <w:rPr>
          <w:b/>
          <w:lang w:val="sk-SK"/>
        </w:rPr>
      </w:pPr>
    </w:p>
    <w:p w14:paraId="32C25B85" w14:textId="77777777" w:rsidR="004D0497" w:rsidRPr="00823E94" w:rsidRDefault="004D0497" w:rsidP="00823E94">
      <w:pPr>
        <w:pStyle w:val="ListBullet"/>
        <w:spacing w:after="120" w:line="240" w:lineRule="auto"/>
        <w:rPr>
          <w:b/>
          <w:lang w:val="sk-SK"/>
        </w:rPr>
      </w:pPr>
      <w:r w:rsidRPr="00823E94">
        <w:rPr>
          <w:b/>
          <w:lang w:val="sk-SK"/>
        </w:rPr>
        <w:t>I. PRAVIDLÁ PRE ROZPOČTOVÉ KATEGÓRIE ZALOŽENÉ NA JEDNOTKOVÝCH PRÍSPEVKOCH</w:t>
      </w:r>
    </w:p>
    <w:p w14:paraId="653DC013" w14:textId="77777777" w:rsidR="004D0497" w:rsidRPr="00823E94" w:rsidRDefault="004D0497" w:rsidP="00823E94">
      <w:pPr>
        <w:pStyle w:val="ListBullet"/>
        <w:spacing w:after="120" w:line="240" w:lineRule="auto"/>
        <w:ind w:left="283" w:hanging="283"/>
        <w:rPr>
          <w:b/>
          <w:lang w:val="sk-SK"/>
        </w:rPr>
      </w:pPr>
      <w:r w:rsidRPr="00823E94">
        <w:rPr>
          <w:b/>
          <w:lang w:val="sk-SK"/>
        </w:rPr>
        <w:t xml:space="preserve">I.1 Podmienky pre oprávnenosť jednotkových príspevkov </w:t>
      </w:r>
    </w:p>
    <w:p w14:paraId="0CFE930A" w14:textId="4249244C" w:rsidR="004D0497" w:rsidRPr="00823E94" w:rsidRDefault="004D0497" w:rsidP="00823E9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 xml:space="preserve">V prípade, že grant má formu jednotkových príspevkov, počet jednotiek musí byť v súlade </w:t>
      </w:r>
      <w:r w:rsidR="00823E94" w:rsidRPr="00823E94">
        <w:rPr>
          <w:rFonts w:ascii="Times New Roman" w:eastAsia="Times New Roman" w:hAnsi="Times New Roman"/>
          <w:sz w:val="24"/>
          <w:szCs w:val="24"/>
          <w:lang w:val="sk-SK"/>
        </w:rPr>
        <w:t>s </w:t>
      </w:r>
      <w:r w:rsidRPr="00823E94">
        <w:rPr>
          <w:rFonts w:ascii="Times New Roman" w:eastAsia="Times New Roman" w:hAnsi="Times New Roman"/>
          <w:sz w:val="24"/>
          <w:szCs w:val="24"/>
          <w:lang w:val="sk-SK"/>
        </w:rPr>
        <w:t>nasledujúcimi podmienkami:</w:t>
      </w:r>
    </w:p>
    <w:p w14:paraId="1D5B9CF5" w14:textId="77777777" w:rsidR="004D0497" w:rsidRPr="00823E94" w:rsidRDefault="004D0497" w:rsidP="00D8230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jednotky musia byť skutočne využité a</w:t>
      </w:r>
      <w:r w:rsidR="006C0AF0" w:rsidRPr="00823E94">
        <w:rPr>
          <w:rFonts w:ascii="Times New Roman" w:eastAsia="Times New Roman" w:hAnsi="Times New Roman"/>
          <w:sz w:val="24"/>
          <w:szCs w:val="24"/>
          <w:lang w:val="sk-SK"/>
        </w:rPr>
        <w:t>lebo</w:t>
      </w:r>
      <w:r w:rsidRPr="00823E94">
        <w:rPr>
          <w:rFonts w:ascii="Times New Roman" w:eastAsia="Times New Roman" w:hAnsi="Times New Roman"/>
          <w:sz w:val="24"/>
          <w:szCs w:val="24"/>
          <w:lang w:val="sk-SK"/>
        </w:rPr>
        <w:t xml:space="preserve"> vytvorené v období stanovenom v</w:t>
      </w:r>
      <w:r w:rsidR="00B463C7" w:rsidRPr="00823E94">
        <w:rPr>
          <w:rFonts w:ascii="Times New Roman" w:eastAsia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eastAsia="Times New Roman" w:hAnsi="Times New Roman"/>
          <w:sz w:val="24"/>
          <w:szCs w:val="24"/>
          <w:lang w:val="sk-SK"/>
        </w:rPr>
        <w:t xml:space="preserve">článku I.2.2 </w:t>
      </w:r>
      <w:r w:rsidR="00BE0C38" w:rsidRPr="00823E94">
        <w:rPr>
          <w:rFonts w:ascii="Times New Roman" w:eastAsia="Times New Roman" w:hAnsi="Times New Roman"/>
          <w:sz w:val="24"/>
          <w:szCs w:val="24"/>
          <w:lang w:val="sk-SK"/>
        </w:rPr>
        <w:t>O</w:t>
      </w:r>
      <w:r w:rsidRPr="00823E94">
        <w:rPr>
          <w:rFonts w:ascii="Times New Roman" w:eastAsia="Times New Roman" w:hAnsi="Times New Roman"/>
          <w:sz w:val="24"/>
          <w:szCs w:val="24"/>
          <w:lang w:val="sk-SK"/>
        </w:rPr>
        <w:t>sobitných podmienok;</w:t>
      </w:r>
    </w:p>
    <w:p w14:paraId="5EA130EE" w14:textId="77777777" w:rsidR="004D0497" w:rsidRPr="00823E94" w:rsidRDefault="004D0497" w:rsidP="00D8230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jednotky musia byť nevyhnutné pre realizáciu projektu alebo ním vytvorené;</w:t>
      </w:r>
    </w:p>
    <w:p w14:paraId="68DEF0B4" w14:textId="77777777" w:rsidR="004D0497" w:rsidRPr="00823E94" w:rsidRDefault="004D0497" w:rsidP="00D8230D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počet jednotiek musí byť identifikovateľný a preukázateľný, najmä prostredníctvom záznamov a dokument</w:t>
      </w:r>
      <w:r w:rsidR="00643B42" w:rsidRPr="00823E94">
        <w:rPr>
          <w:rFonts w:ascii="Times New Roman" w:eastAsia="Times New Roman" w:hAnsi="Times New Roman"/>
          <w:sz w:val="24"/>
          <w:szCs w:val="24"/>
          <w:lang w:val="sk-SK"/>
        </w:rPr>
        <w:t>ácie</w:t>
      </w:r>
      <w:r w:rsidRPr="00823E94">
        <w:rPr>
          <w:rFonts w:ascii="Times New Roman" w:eastAsia="Times New Roman" w:hAnsi="Times New Roman"/>
          <w:sz w:val="24"/>
          <w:szCs w:val="24"/>
          <w:lang w:val="sk-SK"/>
        </w:rPr>
        <w:t xml:space="preserve"> špecifikovan</w:t>
      </w:r>
      <w:r w:rsidR="00643B42" w:rsidRPr="00823E94">
        <w:rPr>
          <w:rFonts w:ascii="Times New Roman" w:eastAsia="Times New Roman" w:hAnsi="Times New Roman"/>
          <w:sz w:val="24"/>
          <w:szCs w:val="24"/>
          <w:lang w:val="sk-SK"/>
        </w:rPr>
        <w:t>ej</w:t>
      </w:r>
      <w:r w:rsidRPr="00823E94">
        <w:rPr>
          <w:rFonts w:ascii="Times New Roman" w:eastAsia="Times New Roman" w:hAnsi="Times New Roman"/>
          <w:sz w:val="24"/>
          <w:szCs w:val="24"/>
          <w:lang w:val="sk-SK"/>
        </w:rPr>
        <w:t xml:space="preserve"> v tejto prílohe.</w:t>
      </w:r>
    </w:p>
    <w:p w14:paraId="4BC505DA" w14:textId="77777777" w:rsidR="00B463C7" w:rsidRPr="00823E94" w:rsidRDefault="00B463C7" w:rsidP="00823E94">
      <w:pPr>
        <w:spacing w:after="120" w:line="240" w:lineRule="auto"/>
        <w:rPr>
          <w:rFonts w:ascii="Times New Roman" w:hAnsi="Times New Roman"/>
          <w:b/>
          <w:sz w:val="24"/>
          <w:szCs w:val="24"/>
          <w:lang w:val="sk-SK"/>
        </w:rPr>
      </w:pPr>
    </w:p>
    <w:p w14:paraId="607E5B94" w14:textId="77777777" w:rsidR="00F3515F" w:rsidRPr="00823E94" w:rsidRDefault="00F3515F" w:rsidP="00823E94">
      <w:pPr>
        <w:spacing w:after="12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sz w:val="24"/>
          <w:szCs w:val="24"/>
          <w:lang w:val="sk-SK"/>
        </w:rPr>
        <w:t>I.2 Výpočet jednotkových príspevkov a podporné dokumenty</w:t>
      </w:r>
    </w:p>
    <w:p w14:paraId="6A8C1F5E" w14:textId="3825584C" w:rsidR="00F3515F" w:rsidRPr="000571E0" w:rsidRDefault="000571E0" w:rsidP="00823E94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0571E0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A. </w:t>
      </w:r>
      <w:r w:rsidR="00F3515F" w:rsidRPr="000571E0">
        <w:rPr>
          <w:rFonts w:ascii="Times New Roman" w:hAnsi="Times New Roman"/>
          <w:b/>
          <w:sz w:val="24"/>
          <w:szCs w:val="24"/>
          <w:u w:val="single"/>
          <w:lang w:val="sk-SK"/>
        </w:rPr>
        <w:t>Cestovné náklady</w:t>
      </w:r>
    </w:p>
    <w:p w14:paraId="1C9C5ADA" w14:textId="77777777" w:rsidR="00F3515F" w:rsidRPr="00823E94" w:rsidRDefault="00F3515F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Za miesto odchodu sa považuje miesto, kde sídli vysielajúca organizácia, a za miesto konania sa považuje miesto, kde sídli prijímajúca organizácia. Ak príjemca uvedie iné miesto odchodu alebo konania, je povinný to náležite odôvodniť. </w:t>
      </w:r>
    </w:p>
    <w:p w14:paraId="355620C8" w14:textId="758DBCD5" w:rsidR="00F3515F" w:rsidRPr="00823E94" w:rsidRDefault="00F3515F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 prípade, že nebola uskutočnená žiadna cesta alebo bola cesta financovaná z iných zdrojov Európskej únie ako z programu Erasmus+ (napr. účastník mobility je už na mieste konania v</w:t>
      </w:r>
      <w:r w:rsidR="00823E94" w:rsidRPr="00823E94">
        <w:rPr>
          <w:rFonts w:ascii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súvislosti s inou aktivitou ako aktivitou financovanou v rámci tejto zmluvy), príjemca je povinný uviesť všetky požadované informácie v Mobility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Tool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+ pre každú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mobilitnú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aktivitu, ktorej s</w:t>
      </w:r>
      <w:r w:rsidR="007247F0" w:rsidRPr="00823E94">
        <w:rPr>
          <w:rFonts w:ascii="Times New Roman" w:hAnsi="Times New Roman"/>
          <w:sz w:val="24"/>
          <w:szCs w:val="24"/>
          <w:lang w:val="sk-SK"/>
        </w:rPr>
        <w:t xml:space="preserve">a to týka. V takomto prípade </w:t>
      </w:r>
      <w:r w:rsidRPr="00823E94">
        <w:rPr>
          <w:rFonts w:ascii="Times New Roman" w:hAnsi="Times New Roman"/>
          <w:sz w:val="24"/>
          <w:szCs w:val="24"/>
          <w:lang w:val="sk-SK"/>
        </w:rPr>
        <w:t>nebude udelená podpora na cestovné náklady.</w:t>
      </w:r>
    </w:p>
    <w:p w14:paraId="44346C5A" w14:textId="54DA6BC2" w:rsidR="00E52B79" w:rsidRPr="00823E94" w:rsidRDefault="00E52B79" w:rsidP="00D8230D">
      <w:pPr>
        <w:numPr>
          <w:ilvl w:val="0"/>
          <w:numId w:val="24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Výpočet výšky grantu na cestovné náklady výška grantu sa vypočíta vynásobením počtu </w:t>
      </w:r>
      <w:r w:rsidRPr="00C91B29">
        <w:rPr>
          <w:rFonts w:ascii="Times New Roman" w:hAnsi="Times New Roman"/>
          <w:sz w:val="24"/>
          <w:szCs w:val="24"/>
          <w:lang w:val="sk-SK"/>
        </w:rPr>
        <w:t>vysiela</w:t>
      </w:r>
      <w:r w:rsidR="00823E94" w:rsidRPr="00C91B29">
        <w:rPr>
          <w:rFonts w:ascii="Times New Roman" w:hAnsi="Times New Roman"/>
          <w:sz w:val="24"/>
          <w:szCs w:val="24"/>
          <w:lang w:val="sk-SK"/>
        </w:rPr>
        <w:t>ných</w:t>
      </w:r>
      <w:r w:rsidRPr="00C91B29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F30D5C" w:rsidRPr="00C91B29">
        <w:rPr>
          <w:rFonts w:ascii="Times New Roman" w:hAnsi="Times New Roman"/>
          <w:sz w:val="24"/>
          <w:szCs w:val="24"/>
          <w:lang w:val="sk-SK"/>
        </w:rPr>
        <w:t> </w:t>
      </w:r>
      <w:r w:rsidRPr="00C91B29">
        <w:rPr>
          <w:rFonts w:ascii="Times New Roman" w:hAnsi="Times New Roman"/>
          <w:sz w:val="24"/>
          <w:szCs w:val="24"/>
          <w:lang w:val="sk-SK"/>
        </w:rPr>
        <w:t>prijíma</w:t>
      </w:r>
      <w:r w:rsidR="00823E94" w:rsidRPr="00C91B29">
        <w:rPr>
          <w:rFonts w:ascii="Times New Roman" w:hAnsi="Times New Roman"/>
          <w:sz w:val="24"/>
          <w:szCs w:val="24"/>
          <w:lang w:val="sk-SK"/>
        </w:rPr>
        <w:t>ných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účastníkov na príslušné vzdialenostné pásmo, jednotkovým príspevkom platným pre príslušné vzdialenostné pásmo, ako je uvedené v Prílohe IV zmluvy. Jednotkový náklad pre vzdialenostné pásmo predstavuje výšku grantu pre spiatočnú cestu medzi miestom odchodu a miestom príchodu.</w:t>
      </w:r>
    </w:p>
    <w:p w14:paraId="2A2D8E6A" w14:textId="77777777" w:rsidR="00850369" w:rsidRPr="00823E94" w:rsidRDefault="00850369" w:rsidP="00954CE5">
      <w:p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Na stanovenie platného vzdialenostného pásma je príjemca povinný uviesť vzdialenosť jednosmernej cesty </w:t>
      </w:r>
      <w:r w:rsidR="00E21B4E" w:rsidRPr="00823E94">
        <w:rPr>
          <w:rFonts w:ascii="Times New Roman" w:hAnsi="Times New Roman"/>
          <w:sz w:val="24"/>
          <w:szCs w:val="24"/>
          <w:lang w:val="sk-SK"/>
        </w:rPr>
        <w:t>v online kalkulačke vzdialeností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, ktorá je dostupná na webovej stránke Európskej komisie: </w:t>
      </w:r>
    </w:p>
    <w:p w14:paraId="30BD4A8E" w14:textId="3AB7CC1E" w:rsidR="00527F91" w:rsidRPr="00823E94" w:rsidRDefault="00280834" w:rsidP="00954CE5">
      <w:p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  <w:lang w:val="sk-SK"/>
        </w:rPr>
      </w:pPr>
      <w:hyperlink r:id="rId14" w:history="1">
        <w:r w:rsidR="00954CE5" w:rsidRPr="0066639E">
          <w:rPr>
            <w:rStyle w:val="Hyperlink"/>
            <w:rFonts w:ascii="Times New Roman" w:hAnsi="Times New Roman"/>
            <w:sz w:val="24"/>
            <w:szCs w:val="24"/>
            <w:lang w:val="sk-SK"/>
          </w:rPr>
          <w:t>http://ec.europa.eu/programmes/erasmus-plus/tools/distance_en.htm</w:t>
        </w:r>
      </w:hyperlink>
      <w:r w:rsidR="00B20DB0" w:rsidRPr="00823E94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14:paraId="68E1FF74" w14:textId="77777777" w:rsidR="00850369" w:rsidRPr="00823E94" w:rsidRDefault="00850369" w:rsidP="00954CE5">
      <w:p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Príjemca v nástroji Mobility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Tool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+ vypočíta výšku grantu na cestovné náklady na základe platných </w:t>
      </w:r>
      <w:r w:rsidR="00E21B4E" w:rsidRPr="00823E94">
        <w:rPr>
          <w:rFonts w:ascii="Times New Roman" w:hAnsi="Times New Roman"/>
          <w:sz w:val="24"/>
          <w:szCs w:val="24"/>
          <w:lang w:val="sk-SK"/>
        </w:rPr>
        <w:t xml:space="preserve">jednotkových </w:t>
      </w:r>
      <w:r w:rsidRPr="00823E94">
        <w:rPr>
          <w:rFonts w:ascii="Times New Roman" w:hAnsi="Times New Roman"/>
          <w:sz w:val="24"/>
          <w:szCs w:val="24"/>
          <w:lang w:val="sk-SK"/>
        </w:rPr>
        <w:t>príspevkových sadzieb.</w:t>
      </w:r>
    </w:p>
    <w:p w14:paraId="4111E520" w14:textId="77777777" w:rsidR="00472C60" w:rsidRPr="00823E94" w:rsidRDefault="00472C60" w:rsidP="00D8230D">
      <w:pPr>
        <w:numPr>
          <w:ilvl w:val="0"/>
          <w:numId w:val="24"/>
        </w:numPr>
        <w:tabs>
          <w:tab w:val="num" w:pos="567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Podmienka udelenia grantu: podmienkou nároku na grant je, že účastník skutočne aktivitu absolvoval. </w:t>
      </w:r>
    </w:p>
    <w:p w14:paraId="668FCA40" w14:textId="1E61AE77" w:rsidR="00ED7671" w:rsidRPr="00823E94" w:rsidRDefault="00472C60" w:rsidP="00D8230D">
      <w:pPr>
        <w:numPr>
          <w:ilvl w:val="0"/>
          <w:numId w:val="24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lastRenderedPageBreak/>
        <w:t xml:space="preserve">Podporné </w:t>
      </w:r>
      <w:r w:rsidR="00ED7671"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dokumenty </w:t>
      </w:r>
      <w:r w:rsidR="00C91B29" w:rsidRPr="00FC3B8C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>pre mobilitu zamestnancov</w:t>
      </w:r>
      <w:r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: </w:t>
      </w:r>
      <w:r w:rsidR="00D56A0A"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D</w:t>
      </w:r>
      <w:r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ôkaz účasti na aktivite vo forme potvrdenia podpísaného prijímajúcou organizáciou, na ktorom sa uvádza meno účastníka, účel aktivity, ako aj dátum začiatku a ukončenia aktivity. </w:t>
      </w:r>
    </w:p>
    <w:p w14:paraId="354ED9FC" w14:textId="2C7ACB5E" w:rsidR="004C0822" w:rsidRPr="00823E94" w:rsidRDefault="004C0822" w:rsidP="00954CE5">
      <w:pPr>
        <w:spacing w:after="12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P</w:t>
      </w:r>
      <w:r w:rsidR="003D142A"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odporné dokumenty </w:t>
      </w:r>
      <w:r w:rsidR="00C91B29" w:rsidRPr="00881D46">
        <w:rPr>
          <w:rFonts w:ascii="Times New Roman" w:hAnsi="Times New Roman"/>
          <w:b/>
          <w:sz w:val="24"/>
          <w:szCs w:val="24"/>
          <w:lang w:val="sk-SK"/>
        </w:rPr>
        <w:t>pre mobilitu študentov</w:t>
      </w:r>
      <w:r w:rsidR="00F503B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:</w:t>
      </w:r>
      <w:r w:rsidR="003D142A"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 D</w:t>
      </w:r>
      <w:r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oklady vydané prijímajúcou organizáciou, na ktorých sa uvádza:</w:t>
      </w:r>
    </w:p>
    <w:p w14:paraId="2D0D5F21" w14:textId="77777777" w:rsidR="004C0822" w:rsidRPr="00823E94" w:rsidRDefault="004C0822" w:rsidP="00D8230D">
      <w:pPr>
        <w:pStyle w:val="ListParagraph"/>
        <w:numPr>
          <w:ilvl w:val="0"/>
          <w:numId w:val="7"/>
        </w:numPr>
        <w:spacing w:after="120" w:line="240" w:lineRule="auto"/>
        <w:ind w:left="1417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meno študenta;</w:t>
      </w:r>
    </w:p>
    <w:p w14:paraId="750752DF" w14:textId="77777777" w:rsidR="004C0822" w:rsidRPr="00823E94" w:rsidRDefault="004C0822" w:rsidP="00D8230D">
      <w:pPr>
        <w:pStyle w:val="ListParagraph"/>
        <w:numPr>
          <w:ilvl w:val="0"/>
          <w:numId w:val="7"/>
        </w:numPr>
        <w:spacing w:after="120" w:line="240" w:lineRule="auto"/>
        <w:ind w:left="1417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dátum začiatku a ukončenia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mobilitnej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aktivity </w:t>
      </w:r>
      <w:r w:rsidR="00FB76AB" w:rsidRPr="00823E9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3E94">
        <w:rPr>
          <w:rFonts w:ascii="Times New Roman" w:hAnsi="Times New Roman"/>
          <w:sz w:val="24"/>
          <w:szCs w:val="24"/>
          <w:lang w:val="sk-SK"/>
        </w:rPr>
        <w:t>v nasledujúcej forme:</w:t>
      </w:r>
    </w:p>
    <w:p w14:paraId="350325B4" w14:textId="77777777" w:rsidR="004C0822" w:rsidRPr="00823E94" w:rsidRDefault="004C0822" w:rsidP="00D8230D">
      <w:pPr>
        <w:pStyle w:val="ListParagraph"/>
        <w:numPr>
          <w:ilvl w:val="0"/>
          <w:numId w:val="10"/>
        </w:numPr>
        <w:spacing w:after="120" w:line="240" w:lineRule="auto"/>
        <w:ind w:left="1985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Výpis výsledkov (alebo vyhlásenie k nemu pripojené) v prípade mobility na štúdium;</w:t>
      </w:r>
    </w:p>
    <w:p w14:paraId="54CA4B6C" w14:textId="77777777" w:rsidR="004C0822" w:rsidRPr="00823E94" w:rsidRDefault="004C0822" w:rsidP="00D8230D">
      <w:pPr>
        <w:pStyle w:val="ListParagraph"/>
        <w:numPr>
          <w:ilvl w:val="0"/>
          <w:numId w:val="10"/>
        </w:numPr>
        <w:spacing w:after="120" w:line="240" w:lineRule="auto"/>
        <w:ind w:left="1985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Certifikát o absolvovaní stáže (alebo vyhlásenie k nemu pripojené) v prípade mobility na stáž.</w:t>
      </w:r>
    </w:p>
    <w:p w14:paraId="6FBC50B0" w14:textId="3ACF5956" w:rsidR="000B2BC6" w:rsidRPr="00954CE5" w:rsidRDefault="00954CE5" w:rsidP="00823E94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954CE5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B. </w:t>
      </w:r>
      <w:r w:rsidR="000B2BC6" w:rsidRPr="00954CE5">
        <w:rPr>
          <w:rFonts w:ascii="Times New Roman" w:hAnsi="Times New Roman"/>
          <w:b/>
          <w:sz w:val="24"/>
          <w:szCs w:val="24"/>
          <w:u w:val="single"/>
          <w:lang w:val="sk-SK"/>
        </w:rPr>
        <w:t>Individuálna podpora</w:t>
      </w:r>
    </w:p>
    <w:p w14:paraId="267063B4" w14:textId="77777777" w:rsidR="00B3756C" w:rsidRPr="00823E94" w:rsidRDefault="00ED7671" w:rsidP="00D8230D">
      <w:pPr>
        <w:numPr>
          <w:ilvl w:val="0"/>
          <w:numId w:val="25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Výpočet výšky grantu </w:t>
      </w:r>
      <w:r w:rsidR="00B3756C" w:rsidRPr="00823E94">
        <w:rPr>
          <w:rFonts w:ascii="Times New Roman" w:hAnsi="Times New Roman"/>
          <w:b/>
          <w:sz w:val="24"/>
          <w:szCs w:val="24"/>
          <w:lang w:val="sk-SK"/>
        </w:rPr>
        <w:t>pre študentov:</w:t>
      </w:r>
      <w:r w:rsidR="00B3756C" w:rsidRPr="00823E94">
        <w:rPr>
          <w:rFonts w:ascii="Times New Roman" w:hAnsi="Times New Roman"/>
          <w:sz w:val="24"/>
          <w:szCs w:val="24"/>
          <w:lang w:val="sk-SK"/>
        </w:rPr>
        <w:t xml:space="preserve"> výška grantu sa vypočíta vynásobením počtu dní/mesiacov </w:t>
      </w:r>
      <w:r w:rsidR="00022013" w:rsidRPr="00823E94">
        <w:rPr>
          <w:rFonts w:ascii="Times New Roman" w:hAnsi="Times New Roman"/>
          <w:sz w:val="24"/>
          <w:szCs w:val="24"/>
          <w:lang w:val="sk-SK"/>
        </w:rPr>
        <w:t>na študenta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56C" w:rsidRPr="00823E94">
        <w:rPr>
          <w:rFonts w:ascii="Times New Roman" w:hAnsi="Times New Roman"/>
          <w:sz w:val="24"/>
          <w:szCs w:val="24"/>
          <w:lang w:val="sk-SK"/>
        </w:rPr>
        <w:t>platným jednotkovým príspevkom na deň/mesiac pre príslušnú prijímajúcu krajinu, ako je uvedené v Prílohe IV zmluvy.</w:t>
      </w:r>
      <w:r w:rsidR="00022013" w:rsidRPr="00823E9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56C" w:rsidRPr="00823E94">
        <w:rPr>
          <w:rFonts w:ascii="Times New Roman" w:hAnsi="Times New Roman"/>
          <w:sz w:val="24"/>
          <w:szCs w:val="24"/>
          <w:lang w:val="sk-SK"/>
        </w:rPr>
        <w:t>V prípade neúplných mesiacov pre dlhodobé mobility, výška grantu sa vypočíta vynásobením počtu dní neúplného mesiaca 1/30 jednotkového príspevku na mesiac.</w:t>
      </w:r>
    </w:p>
    <w:p w14:paraId="40ADBC4B" w14:textId="77777777" w:rsidR="00DC62F3" w:rsidRPr="00823E94" w:rsidRDefault="006A00D1" w:rsidP="00954CE5">
      <w:p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D</w:t>
      </w:r>
      <w:r w:rsidR="00DC62F3" w:rsidRPr="00823E94">
        <w:rPr>
          <w:rFonts w:ascii="Times New Roman" w:hAnsi="Times New Roman"/>
          <w:sz w:val="24"/>
          <w:szCs w:val="24"/>
          <w:lang w:val="sk-SK"/>
        </w:rPr>
        <w:t xml:space="preserve">átumy začiatku 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a </w:t>
      </w:r>
      <w:r w:rsidR="00DC62F3" w:rsidRPr="00823E94">
        <w:rPr>
          <w:rFonts w:ascii="Times New Roman" w:hAnsi="Times New Roman"/>
          <w:sz w:val="24"/>
          <w:szCs w:val="24"/>
          <w:lang w:val="sk-SK"/>
        </w:rPr>
        <w:t xml:space="preserve">ukončenia 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je potrebné vypočítať </w:t>
      </w:r>
      <w:r w:rsidR="00DC62F3" w:rsidRPr="00823E94">
        <w:rPr>
          <w:rFonts w:ascii="Times New Roman" w:hAnsi="Times New Roman"/>
          <w:sz w:val="24"/>
          <w:szCs w:val="24"/>
          <w:lang w:val="sk-SK"/>
        </w:rPr>
        <w:t xml:space="preserve">nasledovne: </w:t>
      </w:r>
    </w:p>
    <w:p w14:paraId="641D6328" w14:textId="77777777" w:rsidR="00DC62F3" w:rsidRPr="00823E94" w:rsidRDefault="00DC62F3" w:rsidP="00D8230D">
      <w:pPr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dátumom začiatku sa rozumie prvý deň, kedy musí byť študent prítomný v</w:t>
      </w:r>
      <w:r w:rsidR="00E506CA" w:rsidRPr="00823E94">
        <w:rPr>
          <w:rFonts w:ascii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hAnsi="Times New Roman"/>
          <w:sz w:val="24"/>
          <w:szCs w:val="24"/>
          <w:lang w:val="sk-SK"/>
        </w:rPr>
        <w:t>prijímajúcej organizácii. Napr. môže to byť dátum začiatku prvého kurzu</w:t>
      </w:r>
      <w:r w:rsidR="00BE398B" w:rsidRPr="00823E94">
        <w:rPr>
          <w:rFonts w:ascii="Times New Roman" w:hAnsi="Times New Roman"/>
          <w:sz w:val="24"/>
          <w:szCs w:val="24"/>
          <w:lang w:val="sk-SK"/>
        </w:rPr>
        <w:t>,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prvý deň na pracovisku, uvítacej aktivity organizovanej prijímajúcou organizáciou alebo jazykového či interkultúrneho kurzu; </w:t>
      </w:r>
    </w:p>
    <w:p w14:paraId="5671F489" w14:textId="384FE9C0" w:rsidR="006578F0" w:rsidRPr="00823E94" w:rsidRDefault="00DC62F3" w:rsidP="00D8230D">
      <w:pPr>
        <w:numPr>
          <w:ilvl w:val="0"/>
          <w:numId w:val="26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dňom ukončenia sa rozumie posledný deň, kedy študent </w:t>
      </w:r>
      <w:r w:rsidR="000A0DEF" w:rsidRPr="00823E94">
        <w:rPr>
          <w:rFonts w:ascii="Times New Roman" w:hAnsi="Times New Roman"/>
          <w:sz w:val="24"/>
          <w:szCs w:val="24"/>
          <w:lang w:val="sk-SK"/>
        </w:rPr>
        <w:t>musí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byť prítomný v</w:t>
      </w:r>
      <w:r w:rsidR="00823E94">
        <w:rPr>
          <w:rFonts w:ascii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hAnsi="Times New Roman"/>
          <w:sz w:val="24"/>
          <w:szCs w:val="24"/>
          <w:lang w:val="sk-SK"/>
        </w:rPr>
        <w:t>p</w:t>
      </w:r>
      <w:r w:rsidR="000A0DEF" w:rsidRPr="00823E94">
        <w:rPr>
          <w:rFonts w:ascii="Times New Roman" w:hAnsi="Times New Roman"/>
          <w:sz w:val="24"/>
          <w:szCs w:val="24"/>
          <w:lang w:val="sk-SK"/>
        </w:rPr>
        <w:t>rijímajúcej organizácii. M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ôže to byť </w:t>
      </w:r>
      <w:r w:rsidR="000A0DEF" w:rsidRPr="00823E94">
        <w:rPr>
          <w:rFonts w:ascii="Times New Roman" w:hAnsi="Times New Roman"/>
          <w:sz w:val="24"/>
          <w:szCs w:val="24"/>
          <w:lang w:val="sk-SK"/>
        </w:rPr>
        <w:t xml:space="preserve">napríklad </w:t>
      </w:r>
      <w:r w:rsidRPr="00823E94">
        <w:rPr>
          <w:rFonts w:ascii="Times New Roman" w:hAnsi="Times New Roman"/>
          <w:sz w:val="24"/>
          <w:szCs w:val="24"/>
          <w:lang w:val="sk-SK"/>
        </w:rPr>
        <w:t>posledný deň skúškového obdobia/kurzu/povinnej účasti na prednáškach</w:t>
      </w:r>
      <w:r w:rsidR="00BE398B" w:rsidRPr="00823E94">
        <w:rPr>
          <w:rFonts w:ascii="Times New Roman" w:hAnsi="Times New Roman"/>
          <w:sz w:val="24"/>
          <w:szCs w:val="24"/>
          <w:lang w:val="sk-SK"/>
        </w:rPr>
        <w:t>/</w:t>
      </w:r>
      <w:r w:rsidRPr="00823E94">
        <w:rPr>
          <w:rFonts w:ascii="Times New Roman" w:hAnsi="Times New Roman"/>
          <w:sz w:val="24"/>
          <w:szCs w:val="24"/>
          <w:lang w:val="sk-SK"/>
        </w:rPr>
        <w:t>práce.</w:t>
      </w:r>
    </w:p>
    <w:p w14:paraId="6CBF0109" w14:textId="77777777" w:rsidR="006578F0" w:rsidRPr="00823E94" w:rsidRDefault="00ED7671" w:rsidP="00D8230D">
      <w:pPr>
        <w:numPr>
          <w:ilvl w:val="0"/>
          <w:numId w:val="25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Výpočet výšky grantu </w:t>
      </w:r>
      <w:r w:rsidRPr="00823E94">
        <w:rPr>
          <w:rFonts w:ascii="Times New Roman" w:hAnsi="Times New Roman"/>
          <w:b/>
          <w:sz w:val="24"/>
          <w:szCs w:val="24"/>
          <w:lang w:val="sk-SK"/>
        </w:rPr>
        <w:t>pre</w:t>
      </w:r>
      <w:r w:rsidRPr="00823E94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 xml:space="preserve"> zamestnancov:</w:t>
      </w:r>
      <w:r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 v</w:t>
      </w:r>
      <w:r w:rsidR="006578F0"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ýška grantu sa vypočíta vynásobením počtu dní na účastníka platným jednotkovým príspevkom na deň pre prísluš</w:t>
      </w:r>
      <w:r w:rsidR="007548EA"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nú prijímajúcu krajinu, ako je</w:t>
      </w:r>
      <w:r w:rsidR="006578F0"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 uvedené v Prílohe IV zmluvy.</w:t>
      </w:r>
    </w:p>
    <w:p w14:paraId="7697AB3B" w14:textId="77777777" w:rsidR="006578F0" w:rsidRPr="00823E94" w:rsidRDefault="006A00D1" w:rsidP="00954CE5">
      <w:pPr>
        <w:spacing w:after="12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Ak je to relevantné, je možné do výpočtu individuálnej podpory zahrnúť aj jeden deň cesty pred aktivitou a jeden deň cesty po ukončení vzdelávacej aktivity</w:t>
      </w:r>
      <w:r w:rsidR="007548EA" w:rsidRPr="00823E94">
        <w:rPr>
          <w:rFonts w:ascii="Times New Roman" w:hAnsi="Times New Roman"/>
          <w:sz w:val="24"/>
          <w:szCs w:val="24"/>
          <w:lang w:val="sk-SK"/>
        </w:rPr>
        <w:t>.</w:t>
      </w:r>
      <w:r w:rsidRPr="00823E94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 </w:t>
      </w:r>
    </w:p>
    <w:p w14:paraId="3390E51B" w14:textId="77777777" w:rsidR="00CE0E93" w:rsidRPr="00823E94" w:rsidRDefault="00B3287D" w:rsidP="00823E94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Zmeny v období trvania mobility pre študentov a zamestnancov</w:t>
      </w:r>
      <w:r w:rsidR="006A00D1" w:rsidRPr="00823E94">
        <w:rPr>
          <w:rFonts w:ascii="Times New Roman" w:hAnsi="Times New Roman"/>
          <w:sz w:val="24"/>
          <w:szCs w:val="24"/>
          <w:lang w:val="sk-SK"/>
        </w:rPr>
        <w:t>:</w:t>
      </w:r>
    </w:p>
    <w:p w14:paraId="58B1FB39" w14:textId="77777777" w:rsidR="00CE0E93" w:rsidRPr="00823E94" w:rsidRDefault="00CE0E93" w:rsidP="00D8230D">
      <w:pPr>
        <w:numPr>
          <w:ilvl w:val="0"/>
          <w:numId w:val="13"/>
        </w:numPr>
        <w:tabs>
          <w:tab w:val="left" w:pos="1843"/>
        </w:tabs>
        <w:spacing w:after="120" w:line="240" w:lineRule="auto"/>
        <w:ind w:left="184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Ak je potvrdené obdobie mobility dlhšie, ako je uvedené v zmluve o grante, príjemca je oprávnený:</w:t>
      </w:r>
    </w:p>
    <w:p w14:paraId="3EFF9F4F" w14:textId="4967B8EA" w:rsidR="00CE0E93" w:rsidRPr="00823E94" w:rsidRDefault="00954CE5" w:rsidP="00D8230D">
      <w:pPr>
        <w:numPr>
          <w:ilvl w:val="1"/>
          <w:numId w:val="14"/>
        </w:numPr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 w:rsidR="00CE0E93" w:rsidRPr="00823E94">
        <w:rPr>
          <w:rFonts w:ascii="Times New Roman" w:hAnsi="Times New Roman"/>
          <w:sz w:val="24"/>
          <w:szCs w:val="24"/>
          <w:lang w:val="sk-SK"/>
        </w:rPr>
        <w:t xml:space="preserve">upraviť zmluvu o grante dodatkom počas obdobia mobility, aby bolo možné brať do úvahy dlhšie trvanie mobility za predpokladu, že to </w:t>
      </w:r>
      <w:r w:rsidR="007548EA" w:rsidRPr="00823E94">
        <w:rPr>
          <w:rFonts w:ascii="Times New Roman" w:hAnsi="Times New Roman"/>
          <w:sz w:val="24"/>
          <w:szCs w:val="24"/>
          <w:lang w:val="sk-SK"/>
        </w:rPr>
        <w:t>z</w:t>
      </w:r>
      <w:r w:rsidR="00CE0E93" w:rsidRPr="00823E94">
        <w:rPr>
          <w:rFonts w:ascii="Times New Roman" w:hAnsi="Times New Roman"/>
          <w:sz w:val="24"/>
          <w:szCs w:val="24"/>
          <w:lang w:val="sk-SK"/>
        </w:rPr>
        <w:t xml:space="preserve">ostávajúca </w:t>
      </w:r>
      <w:r w:rsidR="007548EA" w:rsidRPr="00823E94">
        <w:rPr>
          <w:rFonts w:ascii="Times New Roman" w:hAnsi="Times New Roman"/>
          <w:sz w:val="24"/>
          <w:szCs w:val="24"/>
          <w:lang w:val="sk-SK"/>
        </w:rPr>
        <w:t>výška</w:t>
      </w:r>
      <w:r w:rsidR="00CE0E93" w:rsidRPr="00823E94">
        <w:rPr>
          <w:rFonts w:ascii="Times New Roman" w:hAnsi="Times New Roman"/>
          <w:sz w:val="24"/>
          <w:szCs w:val="24"/>
          <w:lang w:val="sk-SK"/>
        </w:rPr>
        <w:t xml:space="preserve"> grantu dovoľuje</w:t>
      </w:r>
      <w:r w:rsidR="00C91B29">
        <w:rPr>
          <w:rFonts w:ascii="Times New Roman" w:hAnsi="Times New Roman"/>
          <w:sz w:val="24"/>
          <w:szCs w:val="24"/>
          <w:lang w:val="sk-SK"/>
        </w:rPr>
        <w:t>;</w:t>
      </w:r>
    </w:p>
    <w:p w14:paraId="6F8F7F39" w14:textId="642D57A0" w:rsidR="00CE0E93" w:rsidRPr="00823E94" w:rsidRDefault="00954CE5" w:rsidP="00D8230D">
      <w:pPr>
        <w:numPr>
          <w:ilvl w:val="1"/>
          <w:numId w:val="14"/>
        </w:numPr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  </w:t>
      </w:r>
      <w:r w:rsidR="00CE0E93" w:rsidRPr="00823E94">
        <w:rPr>
          <w:rFonts w:ascii="Times New Roman" w:hAnsi="Times New Roman"/>
          <w:sz w:val="24"/>
          <w:szCs w:val="24"/>
          <w:lang w:val="sk-SK"/>
        </w:rPr>
        <w:t>alebo dohodnúť sa s účastníkom počas obdobia mobility, že dodatočný počet dní bude považovaný za obdobie s „nulovým gran</w:t>
      </w:r>
      <w:r w:rsidR="00777C8E" w:rsidRPr="00823E94">
        <w:rPr>
          <w:rFonts w:ascii="Times New Roman" w:hAnsi="Times New Roman"/>
          <w:sz w:val="24"/>
          <w:szCs w:val="24"/>
          <w:lang w:val="sk-SK"/>
        </w:rPr>
        <w:t>tom“ (trvanie bez financovania).</w:t>
      </w:r>
    </w:p>
    <w:p w14:paraId="6F10B2A1" w14:textId="7C78289D" w:rsidR="00CE0E93" w:rsidRPr="00823E94" w:rsidRDefault="00954CE5" w:rsidP="00D8230D">
      <w:pPr>
        <w:numPr>
          <w:ilvl w:val="1"/>
          <w:numId w:val="14"/>
        </w:numPr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CE0E93" w:rsidRPr="00823E94">
        <w:rPr>
          <w:rFonts w:ascii="Times New Roman" w:hAnsi="Times New Roman"/>
          <w:sz w:val="24"/>
          <w:szCs w:val="24"/>
          <w:lang w:val="sk-SK"/>
        </w:rPr>
        <w:t xml:space="preserve">Výšku grantu nie je možné </w:t>
      </w:r>
      <w:r w:rsidR="007548EA" w:rsidRPr="00823E94">
        <w:rPr>
          <w:rFonts w:ascii="Times New Roman" w:hAnsi="Times New Roman"/>
          <w:sz w:val="24"/>
          <w:szCs w:val="24"/>
          <w:lang w:val="sk-SK"/>
        </w:rPr>
        <w:t>na</w:t>
      </w:r>
      <w:r w:rsidR="00CE0E93" w:rsidRPr="00823E94">
        <w:rPr>
          <w:rFonts w:ascii="Times New Roman" w:hAnsi="Times New Roman"/>
          <w:sz w:val="24"/>
          <w:szCs w:val="24"/>
          <w:lang w:val="sk-SK"/>
        </w:rPr>
        <w:t>výšiť po skončení mobility.</w:t>
      </w:r>
    </w:p>
    <w:p w14:paraId="6EA1AD51" w14:textId="77777777" w:rsidR="009F48FE" w:rsidRPr="00823E94" w:rsidRDefault="009F48FE" w:rsidP="00D8230D">
      <w:pPr>
        <w:pStyle w:val="ListParagraph"/>
        <w:numPr>
          <w:ilvl w:val="0"/>
          <w:numId w:val="15"/>
        </w:numPr>
        <w:tabs>
          <w:tab w:val="left" w:pos="1843"/>
        </w:tabs>
        <w:spacing w:after="120" w:line="240" w:lineRule="auto"/>
        <w:ind w:left="1843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823E9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Ak skutočné </w:t>
      </w:r>
      <w:r w:rsidR="007548EA" w:rsidRPr="00823E9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(potvrdené) </w:t>
      </w:r>
      <w:r w:rsidRPr="00823E94">
        <w:rPr>
          <w:rFonts w:ascii="Times New Roman" w:eastAsia="Calibri" w:hAnsi="Times New Roman" w:cs="Times New Roman"/>
          <w:sz w:val="24"/>
          <w:szCs w:val="24"/>
          <w:lang w:val="sk-SK"/>
        </w:rPr>
        <w:t>trvanie mobility je dlhšie, ako je uvedené v zmluve o grante, dodatočný počet dní bude považovaný za dni s „nulovým grantom“.</w:t>
      </w:r>
    </w:p>
    <w:p w14:paraId="4B82ECBE" w14:textId="77777777" w:rsidR="009F48FE" w:rsidRPr="00823E94" w:rsidRDefault="009F48FE" w:rsidP="00D8230D">
      <w:pPr>
        <w:numPr>
          <w:ilvl w:val="0"/>
          <w:numId w:val="15"/>
        </w:numPr>
        <w:tabs>
          <w:tab w:val="left" w:pos="1843"/>
        </w:tabs>
        <w:spacing w:after="120" w:line="240" w:lineRule="auto"/>
        <w:ind w:left="184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 prípade mobility študentov, ak je potvrdená dĺžka mobility kratšia, ako je uvedené v zmluve o grante (pričom musí byť dodržaná minimálna dĺžka mobility), príjemca bude postupovať nasledovne:</w:t>
      </w:r>
    </w:p>
    <w:p w14:paraId="78C119A6" w14:textId="2A52F3C6" w:rsidR="009F48FE" w:rsidRPr="00823E94" w:rsidRDefault="00954CE5" w:rsidP="00D8230D">
      <w:pPr>
        <w:numPr>
          <w:ilvl w:val="1"/>
          <w:numId w:val="16"/>
        </w:numPr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 w:rsidR="009F48FE" w:rsidRPr="00823E94">
        <w:rPr>
          <w:rFonts w:ascii="Times New Roman" w:hAnsi="Times New Roman"/>
          <w:sz w:val="24"/>
          <w:szCs w:val="24"/>
          <w:lang w:val="sk-SK"/>
        </w:rPr>
        <w:t xml:space="preserve">Ak je rozdiel 6 dní alebo viac, príjemca musí uviesť v Mobility </w:t>
      </w:r>
      <w:proofErr w:type="spellStart"/>
      <w:r w:rsidR="009F48FE" w:rsidRPr="00823E94">
        <w:rPr>
          <w:rFonts w:ascii="Times New Roman" w:hAnsi="Times New Roman"/>
          <w:sz w:val="24"/>
          <w:szCs w:val="24"/>
          <w:lang w:val="sk-SK"/>
        </w:rPr>
        <w:t>Tool</w:t>
      </w:r>
      <w:proofErr w:type="spellEnd"/>
      <w:r w:rsidR="009F48FE" w:rsidRPr="00823E94">
        <w:rPr>
          <w:rFonts w:ascii="Times New Roman" w:hAnsi="Times New Roman"/>
          <w:sz w:val="24"/>
          <w:szCs w:val="24"/>
          <w:lang w:val="sk-SK"/>
        </w:rPr>
        <w:t xml:space="preserve">+ </w:t>
      </w:r>
      <w:r w:rsidR="007548EA" w:rsidRPr="00823E94">
        <w:rPr>
          <w:rFonts w:ascii="Times New Roman" w:hAnsi="Times New Roman"/>
          <w:sz w:val="24"/>
          <w:szCs w:val="24"/>
          <w:lang w:val="sk-SK"/>
        </w:rPr>
        <w:t>skutočné (</w:t>
      </w:r>
      <w:r w:rsidR="009F48FE" w:rsidRPr="00823E94">
        <w:rPr>
          <w:rFonts w:ascii="Times New Roman" w:hAnsi="Times New Roman"/>
          <w:sz w:val="24"/>
          <w:szCs w:val="24"/>
          <w:lang w:val="sk-SK"/>
        </w:rPr>
        <w:t>potvrdené</w:t>
      </w:r>
      <w:r w:rsidR="007548EA" w:rsidRPr="00823E94">
        <w:rPr>
          <w:rFonts w:ascii="Times New Roman" w:hAnsi="Times New Roman"/>
          <w:sz w:val="24"/>
          <w:szCs w:val="24"/>
          <w:lang w:val="sk-SK"/>
        </w:rPr>
        <w:t>)</w:t>
      </w:r>
      <w:r w:rsidR="009F48FE" w:rsidRPr="00823E94">
        <w:rPr>
          <w:rFonts w:ascii="Times New Roman" w:hAnsi="Times New Roman"/>
          <w:sz w:val="24"/>
          <w:szCs w:val="24"/>
          <w:lang w:val="sk-SK"/>
        </w:rPr>
        <w:t xml:space="preserve"> obdobie (t. j. dátum začatia a dátum ukončenie mobility ako je uvedené vo Výpise výsledkov  alebo Certifikáte o absolvovaní stáže) a grant bude prepočítaný;</w:t>
      </w:r>
    </w:p>
    <w:p w14:paraId="2301F356" w14:textId="0A3F48A7" w:rsidR="009F48FE" w:rsidRPr="00823E94" w:rsidRDefault="00954CE5" w:rsidP="00D8230D">
      <w:pPr>
        <w:numPr>
          <w:ilvl w:val="1"/>
          <w:numId w:val="16"/>
        </w:numPr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 w:rsidR="009F48FE" w:rsidRPr="00823E94">
        <w:rPr>
          <w:rFonts w:ascii="Times New Roman" w:hAnsi="Times New Roman"/>
          <w:sz w:val="24"/>
          <w:szCs w:val="24"/>
          <w:lang w:val="sk-SK"/>
        </w:rPr>
        <w:t xml:space="preserve">V prípade, že rozdiel je 5 dní alebo menej, príjemca uvedie v Mobility </w:t>
      </w:r>
      <w:proofErr w:type="spellStart"/>
      <w:r w:rsidR="009F48FE" w:rsidRPr="00823E94">
        <w:rPr>
          <w:rFonts w:ascii="Times New Roman" w:hAnsi="Times New Roman"/>
          <w:sz w:val="24"/>
          <w:szCs w:val="24"/>
          <w:lang w:val="sk-SK"/>
        </w:rPr>
        <w:t>Tool</w:t>
      </w:r>
      <w:proofErr w:type="spellEnd"/>
      <w:r w:rsidR="009F48FE" w:rsidRPr="00823E94">
        <w:rPr>
          <w:rFonts w:ascii="Times New Roman" w:hAnsi="Times New Roman"/>
          <w:sz w:val="24"/>
          <w:szCs w:val="24"/>
          <w:lang w:val="sk-SK"/>
        </w:rPr>
        <w:t>+ dobu uvedenú v zmluve o grante (t. j. grant nebude prepočítaný).</w:t>
      </w:r>
    </w:p>
    <w:p w14:paraId="1CE0F1CD" w14:textId="77777777" w:rsidR="00BD0B6E" w:rsidRPr="00823E94" w:rsidRDefault="00BD0B6E" w:rsidP="00D8230D">
      <w:pPr>
        <w:numPr>
          <w:ilvl w:val="0"/>
          <w:numId w:val="2"/>
        </w:numPr>
        <w:tabs>
          <w:tab w:val="left" w:pos="284"/>
          <w:tab w:val="left" w:pos="1843"/>
        </w:tabs>
        <w:spacing w:after="120" w:line="240" w:lineRule="auto"/>
        <w:ind w:left="184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 prípade prerušenia pobytu počas trvania aktivity, obdobie prerušenia sa nezapočíta pri výpočte individuálnej podpory.</w:t>
      </w:r>
    </w:p>
    <w:p w14:paraId="7CA90ADA" w14:textId="77777777" w:rsidR="00BD0B6E" w:rsidRPr="00823E94" w:rsidRDefault="00BD0B6E" w:rsidP="00D8230D">
      <w:pPr>
        <w:numPr>
          <w:ilvl w:val="0"/>
          <w:numId w:val="2"/>
        </w:numPr>
        <w:tabs>
          <w:tab w:val="left" w:pos="284"/>
          <w:tab w:val="left" w:pos="1843"/>
        </w:tabs>
        <w:spacing w:after="120" w:line="240" w:lineRule="auto"/>
        <w:ind w:left="184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 prípade ukončenia zmluvy účastníkom mobility z dôvodu  „vyššej moci“ (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force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majeure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>, t. j. nepredvídateľná výnimočná situácia alebo udalosť, ktorú nemôže účastník ovplyvniť a ktorá nie je zavinená chybou alebo nedbanlivosťou účastníka), účastník je povinný získať grant vo výške, ktorá korešponduje minimálne so skutočným trvaním mobility. Akákoľvek zvyšná suma musí byť vrá</w:t>
      </w:r>
      <w:r w:rsidR="0012143A" w:rsidRPr="00823E94">
        <w:rPr>
          <w:rFonts w:ascii="Times New Roman" w:hAnsi="Times New Roman"/>
          <w:sz w:val="24"/>
          <w:szCs w:val="24"/>
          <w:lang w:val="sk-SK"/>
        </w:rPr>
        <w:t xml:space="preserve">tená okrem prípadu, ak bolo </w:t>
      </w:r>
      <w:r w:rsidRPr="00823E94">
        <w:rPr>
          <w:rFonts w:ascii="Times New Roman" w:hAnsi="Times New Roman"/>
          <w:sz w:val="24"/>
          <w:szCs w:val="24"/>
          <w:lang w:val="sk-SK"/>
        </w:rPr>
        <w:t>s</w:t>
      </w:r>
      <w:r w:rsidR="0012143A" w:rsidRPr="00823E94">
        <w:rPr>
          <w:rFonts w:ascii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hAnsi="Times New Roman"/>
          <w:sz w:val="24"/>
          <w:szCs w:val="24"/>
          <w:lang w:val="sk-SK"/>
        </w:rPr>
        <w:t>príjemcom</w:t>
      </w:r>
      <w:r w:rsidR="0012143A" w:rsidRPr="00823E94">
        <w:rPr>
          <w:rFonts w:ascii="Times New Roman" w:hAnsi="Times New Roman"/>
          <w:sz w:val="24"/>
          <w:szCs w:val="24"/>
          <w:lang w:val="sk-SK"/>
        </w:rPr>
        <w:t xml:space="preserve"> dohodnuté inak</w:t>
      </w:r>
      <w:r w:rsidRPr="00823E94">
        <w:rPr>
          <w:rFonts w:ascii="Times New Roman" w:hAnsi="Times New Roman"/>
          <w:sz w:val="24"/>
          <w:szCs w:val="24"/>
          <w:lang w:val="sk-SK"/>
        </w:rPr>
        <w:t>.</w:t>
      </w:r>
    </w:p>
    <w:p w14:paraId="7C125509" w14:textId="73185DA3" w:rsidR="004962F6" w:rsidRPr="00823E94" w:rsidRDefault="00BD0B6E" w:rsidP="00D8230D">
      <w:pPr>
        <w:numPr>
          <w:ilvl w:val="0"/>
          <w:numId w:val="2"/>
        </w:numPr>
        <w:tabs>
          <w:tab w:val="left" w:pos="284"/>
          <w:tab w:val="left" w:pos="1843"/>
        </w:tabs>
        <w:spacing w:after="120" w:line="240" w:lineRule="auto"/>
        <w:ind w:left="184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V prípade pozastavenia zmluvy účastníkom z dôvodu „vyššej moci“, (t. j. nepredvídateľná výnimočná situácia alebo udalosť, ktorú účastník nemôže ovplyvniť a nemožno ju pripísať pochybeniu alebo nedbanlivosti zo strany účastníka), účastníkovi musí byť umožnené pokračovať v aktivitách po prerušení za predpokladu, že dátum </w:t>
      </w:r>
      <w:r w:rsidR="00FA2100" w:rsidRPr="00823E94">
        <w:rPr>
          <w:rFonts w:ascii="Times New Roman" w:hAnsi="Times New Roman"/>
          <w:sz w:val="24"/>
          <w:szCs w:val="24"/>
          <w:lang w:val="sk-SK"/>
        </w:rPr>
        <w:t>ukončenia mobility nepresiahne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dátum</w:t>
      </w:r>
      <w:r w:rsidR="00FA2100" w:rsidRPr="00823E94">
        <w:rPr>
          <w:rFonts w:ascii="Times New Roman" w:hAnsi="Times New Roman"/>
          <w:sz w:val="24"/>
          <w:szCs w:val="24"/>
          <w:lang w:val="sk-SK"/>
        </w:rPr>
        <w:t xml:space="preserve"> ukončenia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mobilitného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projektu. Táto mobilita musí byť zaznamenaná v</w:t>
      </w:r>
      <w:r w:rsidR="00954CE5">
        <w:rPr>
          <w:rFonts w:ascii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Mobility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Tool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>+ ako jedna mobilita s obdobím prerušenia.</w:t>
      </w:r>
    </w:p>
    <w:p w14:paraId="6655469C" w14:textId="77777777" w:rsidR="004962F6" w:rsidRPr="00823E94" w:rsidRDefault="00BD0B6E" w:rsidP="00D8230D">
      <w:pPr>
        <w:numPr>
          <w:ilvl w:val="0"/>
          <w:numId w:val="25"/>
        </w:numPr>
        <w:tabs>
          <w:tab w:val="left" w:pos="284"/>
          <w:tab w:val="left" w:pos="1134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Podmienka udelenia grantu: podmienkou nároku na grant je, že účastník</w:t>
      </w:r>
      <w:r w:rsidR="00842D18" w:rsidRPr="00823E94">
        <w:rPr>
          <w:rFonts w:ascii="Times New Roman" w:hAnsi="Times New Roman"/>
          <w:sz w:val="24"/>
          <w:szCs w:val="24"/>
          <w:lang w:val="sk-SK"/>
        </w:rPr>
        <w:t xml:space="preserve"> v danom období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skutočne aktivitu</w:t>
      </w:r>
      <w:r w:rsidR="00842D18" w:rsidRPr="00823E94">
        <w:rPr>
          <w:rFonts w:ascii="Times New Roman" w:hAnsi="Times New Roman"/>
          <w:sz w:val="24"/>
          <w:szCs w:val="24"/>
          <w:lang w:val="sk-SK"/>
        </w:rPr>
        <w:t xml:space="preserve"> absolvoval</w:t>
      </w:r>
      <w:r w:rsidRPr="00823E94">
        <w:rPr>
          <w:rFonts w:ascii="Times New Roman" w:hAnsi="Times New Roman"/>
          <w:sz w:val="24"/>
          <w:szCs w:val="24"/>
          <w:lang w:val="sk-SK"/>
        </w:rPr>
        <w:t>.</w:t>
      </w:r>
    </w:p>
    <w:p w14:paraId="7082B0C0" w14:textId="77777777" w:rsidR="004962F6" w:rsidRPr="00823E94" w:rsidRDefault="004962F6" w:rsidP="00D8230D">
      <w:pPr>
        <w:numPr>
          <w:ilvl w:val="0"/>
          <w:numId w:val="25"/>
        </w:numPr>
        <w:tabs>
          <w:tab w:val="left" w:pos="284"/>
          <w:tab w:val="left" w:pos="1134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Podporné dokumenty </w:t>
      </w:r>
      <w:r w:rsidR="00BD0B6E" w:rsidRPr="00954CE5">
        <w:rPr>
          <w:rFonts w:ascii="Times New Roman" w:hAnsi="Times New Roman"/>
          <w:b/>
          <w:sz w:val="24"/>
          <w:szCs w:val="24"/>
          <w:lang w:val="sk-SK"/>
        </w:rPr>
        <w:t>pre zamestnancov</w:t>
      </w:r>
      <w:r w:rsidR="00BD0B6E" w:rsidRPr="00823E94">
        <w:rPr>
          <w:rFonts w:ascii="Times New Roman" w:hAnsi="Times New Roman"/>
          <w:sz w:val="24"/>
          <w:szCs w:val="24"/>
          <w:lang w:val="sk-SK"/>
        </w:rPr>
        <w:t>: dôkaz o účasti na aktivite vo forme potvrdenia podpísaného prijímajúcou organizáciou, na ktorom sa uvádza meno účastníka, účel aktivity, ako aj dátum začiatku a ukončenia aktivity.</w:t>
      </w:r>
    </w:p>
    <w:p w14:paraId="60C3AD09" w14:textId="2E29B211" w:rsidR="00D30967" w:rsidRPr="00823E94" w:rsidRDefault="00D30967" w:rsidP="00954CE5">
      <w:pPr>
        <w:tabs>
          <w:tab w:val="left" w:pos="284"/>
          <w:tab w:val="left" w:pos="1134"/>
        </w:tabs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</w:t>
      </w:r>
      <w:r w:rsidR="006E54F1" w:rsidRPr="00823E94">
        <w:rPr>
          <w:rFonts w:ascii="Times New Roman" w:hAnsi="Times New Roman"/>
          <w:sz w:val="24"/>
          <w:szCs w:val="24"/>
          <w:lang w:val="sk-SK"/>
        </w:rPr>
        <w:t xml:space="preserve">odporné dokumenty </w:t>
      </w:r>
      <w:r w:rsidR="006E54F1" w:rsidRPr="00954CE5">
        <w:rPr>
          <w:rFonts w:ascii="Times New Roman" w:hAnsi="Times New Roman"/>
          <w:b/>
          <w:sz w:val="24"/>
          <w:szCs w:val="24"/>
          <w:lang w:val="sk-SK"/>
        </w:rPr>
        <w:t>pre študentov</w:t>
      </w:r>
      <w:r w:rsidR="00C91B29">
        <w:rPr>
          <w:rFonts w:ascii="Times New Roman" w:hAnsi="Times New Roman"/>
          <w:b/>
          <w:sz w:val="24"/>
          <w:szCs w:val="24"/>
          <w:lang w:val="sk-SK"/>
        </w:rPr>
        <w:t>:</w:t>
      </w:r>
      <w:r w:rsidR="006E54F1" w:rsidRPr="00823E9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C91B29">
        <w:rPr>
          <w:rFonts w:ascii="Times New Roman" w:hAnsi="Times New Roman"/>
          <w:sz w:val="24"/>
          <w:szCs w:val="24"/>
          <w:lang w:val="sk-SK"/>
        </w:rPr>
        <w:t>d</w:t>
      </w:r>
      <w:r w:rsidRPr="00823E94">
        <w:rPr>
          <w:rFonts w:ascii="Times New Roman" w:hAnsi="Times New Roman"/>
          <w:sz w:val="24"/>
          <w:szCs w:val="24"/>
          <w:lang w:val="sk-SK"/>
        </w:rPr>
        <w:t>oklady vydané prijímajúcou organizáciou, na ktorých sa uvádza:</w:t>
      </w:r>
    </w:p>
    <w:p w14:paraId="4DD212B4" w14:textId="77777777" w:rsidR="00D30967" w:rsidRPr="00823E94" w:rsidRDefault="00D30967" w:rsidP="00D8230D">
      <w:pPr>
        <w:pStyle w:val="ListParagraph"/>
        <w:numPr>
          <w:ilvl w:val="0"/>
          <w:numId w:val="8"/>
        </w:numPr>
        <w:spacing w:after="120" w:line="240" w:lineRule="auto"/>
        <w:ind w:left="2268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meno študenta;</w:t>
      </w:r>
    </w:p>
    <w:p w14:paraId="0F245477" w14:textId="77777777" w:rsidR="00D30967" w:rsidRPr="00823E94" w:rsidRDefault="00D30967" w:rsidP="00D8230D">
      <w:pPr>
        <w:pStyle w:val="ListParagraph"/>
        <w:numPr>
          <w:ilvl w:val="0"/>
          <w:numId w:val="8"/>
        </w:numPr>
        <w:spacing w:after="120" w:line="240" w:lineRule="auto"/>
        <w:ind w:left="2268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dátum začiatku a ukončenia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mobilitnej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aktivity v nasledujúcej forme:</w:t>
      </w:r>
    </w:p>
    <w:p w14:paraId="7FC9213C" w14:textId="77777777" w:rsidR="00D30967" w:rsidRPr="00823E94" w:rsidRDefault="00D30967" w:rsidP="00D8230D">
      <w:pPr>
        <w:numPr>
          <w:ilvl w:val="0"/>
          <w:numId w:val="9"/>
        </w:numPr>
        <w:tabs>
          <w:tab w:val="left" w:pos="2268"/>
        </w:tabs>
        <w:spacing w:after="120" w:line="240" w:lineRule="auto"/>
        <w:ind w:left="2268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lastRenderedPageBreak/>
        <w:t>Výpis výsledkov (alebo vyhlásenie k nemu pripojené) v prípade mobility na štúdium;</w:t>
      </w:r>
    </w:p>
    <w:p w14:paraId="620CE9FD" w14:textId="77777777" w:rsidR="00D30967" w:rsidRPr="00823E94" w:rsidRDefault="00D30967" w:rsidP="00D8230D">
      <w:pPr>
        <w:numPr>
          <w:ilvl w:val="0"/>
          <w:numId w:val="9"/>
        </w:numPr>
        <w:tabs>
          <w:tab w:val="left" w:pos="2268"/>
        </w:tabs>
        <w:spacing w:after="120" w:line="240" w:lineRule="auto"/>
        <w:ind w:left="2268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Certifikát o absolvovaní stáže (alebo vyhlásenie k nemu pripojené) v prípade mobility na stáž.</w:t>
      </w:r>
    </w:p>
    <w:p w14:paraId="63E4BAB1" w14:textId="104F8743" w:rsidR="00323042" w:rsidRPr="00954CE5" w:rsidRDefault="00323042" w:rsidP="00D8230D">
      <w:pPr>
        <w:numPr>
          <w:ilvl w:val="0"/>
          <w:numId w:val="25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Podávanie správ:</w:t>
      </w:r>
      <w:r w:rsidR="00954CE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54CE5">
        <w:rPr>
          <w:rFonts w:ascii="Times New Roman" w:hAnsi="Times New Roman"/>
          <w:sz w:val="24"/>
          <w:szCs w:val="24"/>
          <w:lang w:val="sk-SK"/>
        </w:rPr>
        <w:t xml:space="preserve">Účastníci </w:t>
      </w:r>
      <w:proofErr w:type="spellStart"/>
      <w:r w:rsidRPr="00954CE5">
        <w:rPr>
          <w:rFonts w:ascii="Times New Roman" w:hAnsi="Times New Roman"/>
          <w:sz w:val="24"/>
          <w:szCs w:val="24"/>
          <w:lang w:val="sk-SK"/>
        </w:rPr>
        <w:t>mobilitných</w:t>
      </w:r>
      <w:proofErr w:type="spellEnd"/>
      <w:r w:rsidRPr="00954CE5">
        <w:rPr>
          <w:rFonts w:ascii="Times New Roman" w:hAnsi="Times New Roman"/>
          <w:sz w:val="24"/>
          <w:szCs w:val="24"/>
          <w:lang w:val="sk-SK"/>
        </w:rPr>
        <w:t xml:space="preserve"> aktivít sú povinní podať správu o aktivite prostredníctvom online dotazníka, a tým poskytnúť spätnú väzbu, pokiaľ ide o</w:t>
      </w:r>
      <w:r w:rsidR="00187F65">
        <w:rPr>
          <w:rFonts w:ascii="Times New Roman" w:hAnsi="Times New Roman"/>
          <w:sz w:val="24"/>
          <w:szCs w:val="24"/>
          <w:lang w:val="sk-SK"/>
        </w:rPr>
        <w:t> </w:t>
      </w:r>
      <w:r w:rsidRPr="00954CE5">
        <w:rPr>
          <w:rFonts w:ascii="Times New Roman" w:hAnsi="Times New Roman"/>
          <w:sz w:val="24"/>
          <w:szCs w:val="24"/>
          <w:lang w:val="sk-SK"/>
        </w:rPr>
        <w:t>faktické informácie a ich vnímanie mobility, ako aj jej</w:t>
      </w:r>
      <w:r w:rsidR="004962F6" w:rsidRPr="00954CE5">
        <w:rPr>
          <w:rFonts w:ascii="Times New Roman" w:hAnsi="Times New Roman"/>
          <w:sz w:val="24"/>
          <w:szCs w:val="24"/>
          <w:lang w:val="sk-SK"/>
        </w:rPr>
        <w:t xml:space="preserve"> prípravu a následné aktivity. </w:t>
      </w:r>
      <w:r w:rsidRPr="00954CE5">
        <w:rPr>
          <w:rFonts w:ascii="Times New Roman" w:hAnsi="Times New Roman"/>
          <w:sz w:val="24"/>
          <w:szCs w:val="24"/>
          <w:lang w:val="sk-SK"/>
        </w:rPr>
        <w:t>Účastníci, ktorí nepodajú správu, môžu byť požiadaní, aby vrátili časť alebo celý finančný príspevok, ktorý na aktivitu získali zo zdrojov EÚ – Erasmus+.</w:t>
      </w:r>
    </w:p>
    <w:p w14:paraId="654B40EF" w14:textId="5B09FB08" w:rsidR="009E5ED3" w:rsidRPr="000571E0" w:rsidRDefault="000571E0" w:rsidP="00823E94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0571E0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C. </w:t>
      </w:r>
      <w:r w:rsidR="009E5ED3" w:rsidRPr="000571E0">
        <w:rPr>
          <w:rFonts w:ascii="Times New Roman" w:hAnsi="Times New Roman"/>
          <w:b/>
          <w:sz w:val="24"/>
          <w:szCs w:val="24"/>
          <w:u w:val="single"/>
          <w:lang w:val="sk-SK"/>
        </w:rPr>
        <w:t>Organizačná podpora</w:t>
      </w:r>
    </w:p>
    <w:p w14:paraId="1307003F" w14:textId="77777777" w:rsidR="004962F6" w:rsidRPr="00823E94" w:rsidRDefault="00EE10C8" w:rsidP="00D8230D">
      <w:pPr>
        <w:pStyle w:val="ListParagraph"/>
        <w:numPr>
          <w:ilvl w:val="0"/>
          <w:numId w:val="19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823E94">
        <w:rPr>
          <w:rFonts w:ascii="Times New Roman" w:hAnsi="Times New Roman"/>
          <w:sz w:val="24"/>
          <w:lang w:val="sk-SK"/>
        </w:rPr>
        <w:t xml:space="preserve">Výpočet výšky grantu: Výška grantu sa vypočíta vynásobením celkového počtu účastí na </w:t>
      </w:r>
      <w:proofErr w:type="spellStart"/>
      <w:r w:rsidRPr="00823E94">
        <w:rPr>
          <w:rFonts w:ascii="Times New Roman" w:hAnsi="Times New Roman"/>
          <w:sz w:val="24"/>
          <w:lang w:val="sk-SK"/>
        </w:rPr>
        <w:t>mobilitných</w:t>
      </w:r>
      <w:proofErr w:type="spellEnd"/>
      <w:r w:rsidRPr="00823E94">
        <w:rPr>
          <w:rFonts w:ascii="Times New Roman" w:hAnsi="Times New Roman"/>
          <w:sz w:val="24"/>
          <w:lang w:val="sk-SK"/>
        </w:rPr>
        <w:t xml:space="preserve"> aktivitách (t. j. bez ohľadu na to, že ten istý účastník absolvuje jednu alebo viac mobilít) platným jednotkových príspevkom, ako je uvedené v Prílohe IV zmluvy. Pre výpočet organizačnej podpory sa berie do úvahy celkový počet účastí, ktorý zahŕňa počet študentov a zamestnancov, ktorí absolvovali prichádzajúcu a odchádzajúcu mobilitu ako sú uvedené v Prílohe II. Príjemca môže požiadať NA o dodatočnú podporu na organizáciu pre účastníkov s nulovým grantom zo zdrojov EÚ – Erasmus+. Z celkového počtu osôb, ktoré sa berú do úvahy pri výpočte podpory na organizáciu, sú vylúčené osoby sprevádzajúce účastníkov počas ich </w:t>
      </w:r>
      <w:r w:rsidR="00E451CC" w:rsidRPr="00823E94">
        <w:rPr>
          <w:rFonts w:ascii="Times New Roman" w:hAnsi="Times New Roman"/>
          <w:sz w:val="24"/>
          <w:lang w:val="sk-SK"/>
        </w:rPr>
        <w:t>aktivity</w:t>
      </w:r>
      <w:r w:rsidRPr="00823E94">
        <w:rPr>
          <w:rFonts w:ascii="Times New Roman" w:hAnsi="Times New Roman"/>
          <w:sz w:val="24"/>
          <w:lang w:val="sk-SK"/>
        </w:rPr>
        <w:t xml:space="preserve"> a dodatočné mobility financované presunom prostriedkov medzi jednotlivými rozpočtovými kategóriami. </w:t>
      </w:r>
    </w:p>
    <w:p w14:paraId="0EA12830" w14:textId="77777777" w:rsidR="004962F6" w:rsidRPr="00823E94" w:rsidRDefault="00EE10C8" w:rsidP="00D8230D">
      <w:pPr>
        <w:pStyle w:val="ListParagraph"/>
        <w:numPr>
          <w:ilvl w:val="0"/>
          <w:numId w:val="19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Podmienka udelenia grantu: podmienkou nároku na grant je, že účastník skutočne aktivitu</w:t>
      </w:r>
      <w:r w:rsidR="00323A50" w:rsidRPr="00823E94">
        <w:rPr>
          <w:rFonts w:ascii="Times New Roman" w:hAnsi="Times New Roman"/>
          <w:sz w:val="24"/>
          <w:szCs w:val="24"/>
          <w:lang w:val="sk-SK"/>
        </w:rPr>
        <w:t xml:space="preserve"> absolvoval</w:t>
      </w:r>
      <w:r w:rsidRPr="00823E94">
        <w:rPr>
          <w:rFonts w:ascii="Times New Roman" w:hAnsi="Times New Roman"/>
          <w:sz w:val="24"/>
          <w:szCs w:val="24"/>
          <w:lang w:val="sk-SK"/>
        </w:rPr>
        <w:t>.</w:t>
      </w:r>
    </w:p>
    <w:p w14:paraId="578F6EDC" w14:textId="77777777" w:rsidR="004962F6" w:rsidRPr="00823E94" w:rsidRDefault="00323A50" w:rsidP="00D8230D">
      <w:pPr>
        <w:pStyle w:val="ListParagraph"/>
        <w:numPr>
          <w:ilvl w:val="0"/>
          <w:numId w:val="19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Podporné dokumenty: dôkaz o účasti na aktivite vo forme potvrdenia, </w:t>
      </w:r>
      <w:r w:rsidR="000C1ED5" w:rsidRPr="00823E9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podpísaného </w:t>
      </w:r>
      <w:r w:rsidR="000F1DF4" w:rsidRPr="00823E94">
        <w:rPr>
          <w:rFonts w:ascii="Times New Roman" w:hAnsi="Times New Roman"/>
          <w:sz w:val="24"/>
          <w:szCs w:val="24"/>
          <w:lang w:val="sk-SK"/>
        </w:rPr>
        <w:t>prijímajúcou organizáciou, na ktorom sa uvádza meno účastníka, účel aktivity, ako aj dátum začiatku a ukončenia aktivity.</w:t>
      </w:r>
    </w:p>
    <w:p w14:paraId="349CDB51" w14:textId="77777777" w:rsidR="00285D35" w:rsidRPr="00823E94" w:rsidRDefault="00285D35" w:rsidP="00D8230D">
      <w:pPr>
        <w:pStyle w:val="ListParagraph"/>
        <w:numPr>
          <w:ilvl w:val="0"/>
          <w:numId w:val="19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Podávanie správ:</w:t>
      </w:r>
    </w:p>
    <w:p w14:paraId="009693C3" w14:textId="77777777" w:rsidR="00285D35" w:rsidRPr="00823E94" w:rsidRDefault="00285D35" w:rsidP="00D8230D">
      <w:pPr>
        <w:numPr>
          <w:ilvl w:val="0"/>
          <w:numId w:val="17"/>
        </w:numPr>
        <w:spacing w:after="120" w:line="240" w:lineRule="auto"/>
        <w:ind w:left="184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Ak rozdiel medzi celkovým počtom realizovaných mobilít študentov a</w:t>
      </w:r>
      <w:r w:rsidR="00E506CA" w:rsidRPr="00823E94">
        <w:rPr>
          <w:rFonts w:ascii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zamestnancov a počtom mobilít </w:t>
      </w:r>
      <w:r w:rsidR="00CF2C4A" w:rsidRPr="00823E94">
        <w:rPr>
          <w:rFonts w:ascii="Times New Roman" w:hAnsi="Times New Roman"/>
          <w:sz w:val="24"/>
          <w:szCs w:val="24"/>
          <w:lang w:val="sk-SK"/>
        </w:rPr>
        <w:t>uvedených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v Prílohe II zmluvy je menší </w:t>
      </w:r>
      <w:r w:rsidR="003105BD" w:rsidRPr="00823E94">
        <w:rPr>
          <w:rFonts w:ascii="Times New Roman" w:hAnsi="Times New Roman"/>
          <w:sz w:val="24"/>
          <w:szCs w:val="24"/>
          <w:lang w:val="sk-SK"/>
        </w:rPr>
        <w:t xml:space="preserve">alebo rovný </w:t>
      </w:r>
      <w:r w:rsidRPr="00823E94">
        <w:rPr>
          <w:rFonts w:ascii="Times New Roman" w:hAnsi="Times New Roman"/>
          <w:sz w:val="24"/>
          <w:szCs w:val="24"/>
          <w:lang w:val="sk-SK"/>
        </w:rPr>
        <w:t>ako 10%, grant pre organizačnú podporu nebude znížený (tzv. „hranica tolerancie 10%“).</w:t>
      </w:r>
    </w:p>
    <w:p w14:paraId="2BAF5172" w14:textId="77777777" w:rsidR="00285D35" w:rsidRPr="00823E94" w:rsidRDefault="00285D35" w:rsidP="00D8230D">
      <w:pPr>
        <w:numPr>
          <w:ilvl w:val="0"/>
          <w:numId w:val="17"/>
        </w:numPr>
        <w:spacing w:after="120" w:line="240" w:lineRule="auto"/>
        <w:ind w:left="184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Ak vo fáze podávania záverečnej správy je počet realizovaných mobilít vyšší ako počet </w:t>
      </w:r>
      <w:r w:rsidR="00A91085" w:rsidRPr="00823E94">
        <w:rPr>
          <w:rFonts w:ascii="Times New Roman" w:hAnsi="Times New Roman"/>
          <w:sz w:val="24"/>
          <w:szCs w:val="24"/>
          <w:lang w:val="sk-SK"/>
        </w:rPr>
        <w:t>mobilít uvedený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v Prílohe II, výška grantu pre podporu na organizáciu bude limitovaná maximálne do sumy uvedenej v Prílohe II. </w:t>
      </w:r>
    </w:p>
    <w:p w14:paraId="140B43E6" w14:textId="77777777" w:rsidR="00187F65" w:rsidRDefault="00187F65" w:rsidP="00823E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7FD43F54" w14:textId="5604DFD1" w:rsidR="00C45034" w:rsidRPr="00823E94" w:rsidRDefault="00C45034" w:rsidP="00823E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sz w:val="24"/>
          <w:szCs w:val="24"/>
          <w:lang w:val="sk-SK"/>
        </w:rPr>
        <w:t>II. PRAVIDLÁ PRE ROZPOČTOVÉ KATEGÓRIE ZALOŽENÉ NA REFUNDÁCII REÁLNYCH NÁKLADOV</w:t>
      </w:r>
    </w:p>
    <w:p w14:paraId="0C8E78B6" w14:textId="77777777" w:rsidR="00D310E5" w:rsidRPr="00823E94" w:rsidRDefault="00D310E5" w:rsidP="00823E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sz w:val="24"/>
          <w:szCs w:val="24"/>
          <w:lang w:val="sk-SK"/>
        </w:rPr>
        <w:t>II.1. Podmienky pre refundáciu reálnych nákladov</w:t>
      </w:r>
    </w:p>
    <w:p w14:paraId="50B98B4C" w14:textId="77777777" w:rsidR="00B72CD6" w:rsidRPr="00823E94" w:rsidRDefault="00B72CD6" w:rsidP="00823E9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Ak má grant formu refundácie skutočných nákladov, musia sa uplatniť nasledujúce podmienky:</w:t>
      </w:r>
    </w:p>
    <w:p w14:paraId="7921D0C0" w14:textId="77777777" w:rsidR="00B72CD6" w:rsidRPr="00823E94" w:rsidRDefault="00B72CD6" w:rsidP="00D8230D">
      <w:pPr>
        <w:numPr>
          <w:ilvl w:val="0"/>
          <w:numId w:val="27"/>
        </w:numPr>
        <w:tabs>
          <w:tab w:val="clear" w:pos="720"/>
          <w:tab w:val="num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lastRenderedPageBreak/>
        <w:t>náklady vznikli príjemcovi;</w:t>
      </w:r>
    </w:p>
    <w:p w14:paraId="21525667" w14:textId="77777777" w:rsidR="00B72CD6" w:rsidRPr="00823E94" w:rsidRDefault="00B72CD6" w:rsidP="00D8230D">
      <w:pPr>
        <w:numPr>
          <w:ilvl w:val="0"/>
          <w:numId w:val="27"/>
        </w:numPr>
        <w:tabs>
          <w:tab w:val="clear" w:pos="720"/>
          <w:tab w:val="num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náklady vznikli v období stanovenom v článku I.2.2;</w:t>
      </w:r>
    </w:p>
    <w:p w14:paraId="6EC9829C" w14:textId="77777777" w:rsidR="00B72CD6" w:rsidRPr="00823E94" w:rsidRDefault="00B72CD6" w:rsidP="00D8230D">
      <w:pPr>
        <w:numPr>
          <w:ilvl w:val="0"/>
          <w:numId w:val="27"/>
        </w:numPr>
        <w:tabs>
          <w:tab w:val="clear" w:pos="720"/>
          <w:tab w:val="num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náklady sú uvedené v odhadovanom r</w:t>
      </w:r>
      <w:r w:rsidR="001F6D7A" w:rsidRPr="00823E94">
        <w:rPr>
          <w:rFonts w:ascii="Times New Roman" w:eastAsia="Times New Roman" w:hAnsi="Times New Roman"/>
          <w:sz w:val="24"/>
          <w:szCs w:val="24"/>
          <w:lang w:val="sk-SK"/>
        </w:rPr>
        <w:t>ozpočte stanovenom v Prílohe II</w:t>
      </w:r>
      <w:r w:rsidRPr="00823E94">
        <w:rPr>
          <w:rFonts w:ascii="Times New Roman" w:eastAsia="Times New Roman" w:hAnsi="Times New Roman"/>
          <w:sz w:val="24"/>
          <w:szCs w:val="24"/>
          <w:lang w:val="sk-SK"/>
        </w:rPr>
        <w:t xml:space="preserve"> alebo sú oprávnené na základe rozpočtových presunov, ktoré sú v súlade s článkom I.3.3;</w:t>
      </w:r>
    </w:p>
    <w:p w14:paraId="43A488AB" w14:textId="77777777" w:rsidR="00B72CD6" w:rsidRPr="00823E94" w:rsidRDefault="00B72CD6" w:rsidP="00D8230D">
      <w:pPr>
        <w:numPr>
          <w:ilvl w:val="0"/>
          <w:numId w:val="27"/>
        </w:numPr>
        <w:tabs>
          <w:tab w:val="clear" w:pos="720"/>
          <w:tab w:val="num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náklady vznikli v súvislosti s projektom, ako je uvedené v Prílohe II a sú nevyhnutné pre jeho realizáciu;</w:t>
      </w:r>
    </w:p>
    <w:p w14:paraId="1A1BD47A" w14:textId="77777777" w:rsidR="00B72CD6" w:rsidRPr="00823E94" w:rsidRDefault="00B72CD6" w:rsidP="00D8230D">
      <w:pPr>
        <w:numPr>
          <w:ilvl w:val="0"/>
          <w:numId w:val="27"/>
        </w:numPr>
        <w:tabs>
          <w:tab w:val="clear" w:pos="720"/>
          <w:tab w:val="num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náklady sú identifikovateľné a overiteľné, najmä sú zaznamenané v účtovných záznamoch príjemcu a stanovené v súlade s platnými účtovnými štandardmi krajiny, kde sídli príjemca a s obvyklými postupmi účtovania nákladov príjemcu;</w:t>
      </w:r>
    </w:p>
    <w:p w14:paraId="38B30352" w14:textId="77777777" w:rsidR="00B72CD6" w:rsidRPr="00823E94" w:rsidRDefault="00B72CD6" w:rsidP="00D8230D">
      <w:pPr>
        <w:numPr>
          <w:ilvl w:val="0"/>
          <w:numId w:val="27"/>
        </w:numPr>
        <w:tabs>
          <w:tab w:val="clear" w:pos="720"/>
          <w:tab w:val="num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náklady sú v súlade s požiadavkami platného daňového a sociálneho právneho poriadku;</w:t>
      </w:r>
    </w:p>
    <w:p w14:paraId="469320B4" w14:textId="77777777" w:rsidR="00B72CD6" w:rsidRPr="00823E94" w:rsidRDefault="00B72CD6" w:rsidP="00D8230D">
      <w:pPr>
        <w:numPr>
          <w:ilvl w:val="0"/>
          <w:numId w:val="27"/>
        </w:numPr>
        <w:tabs>
          <w:tab w:val="clear" w:pos="720"/>
          <w:tab w:val="num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náklady sú primerané, opodstatnené a v súlade so zásadou riadneho finančného riadenia, najmä pokiaľ ide o hospodárnosť a efektívnosť;</w:t>
      </w:r>
    </w:p>
    <w:p w14:paraId="155A70E9" w14:textId="77777777" w:rsidR="00B72CD6" w:rsidRPr="00823E94" w:rsidRDefault="00B72CD6" w:rsidP="00D8230D">
      <w:pPr>
        <w:numPr>
          <w:ilvl w:val="0"/>
          <w:numId w:val="27"/>
        </w:numPr>
        <w:tabs>
          <w:tab w:val="clear" w:pos="720"/>
          <w:tab w:val="num" w:pos="1134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823E94">
        <w:rPr>
          <w:rFonts w:ascii="Times New Roman" w:eastAsia="Times New Roman" w:hAnsi="Times New Roman"/>
          <w:sz w:val="24"/>
          <w:szCs w:val="24"/>
          <w:lang w:val="sk-SK"/>
        </w:rPr>
        <w:t>náklady nie sú pokryté jednotkovým príspevkom, ako je uvedené v časti I tejto prílohy.</w:t>
      </w:r>
    </w:p>
    <w:p w14:paraId="49AA541D" w14:textId="77777777" w:rsidR="00AC6003" w:rsidRPr="00823E94" w:rsidRDefault="00AC6003" w:rsidP="00823E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sz w:val="24"/>
          <w:szCs w:val="24"/>
          <w:lang w:val="sk-SK"/>
        </w:rPr>
        <w:t>II.2 Výpočet reálnych nákladov</w:t>
      </w:r>
    </w:p>
    <w:p w14:paraId="2669C297" w14:textId="231A5AC8" w:rsidR="00AC6003" w:rsidRPr="00EB47D0" w:rsidRDefault="00EB47D0" w:rsidP="00823E94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EB47D0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A. </w:t>
      </w:r>
      <w:r w:rsidR="00AC6003" w:rsidRPr="00EB47D0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Podpora na špeciálne potreby </w:t>
      </w:r>
    </w:p>
    <w:p w14:paraId="425ADD78" w14:textId="59A77230" w:rsidR="00AC6003" w:rsidRPr="00823E94" w:rsidRDefault="00AC6003" w:rsidP="00D8230D">
      <w:pPr>
        <w:numPr>
          <w:ilvl w:val="0"/>
          <w:numId w:val="28"/>
        </w:numPr>
        <w:tabs>
          <w:tab w:val="left" w:pos="851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Výpočet výšky grantu: grant je r</w:t>
      </w:r>
      <w:r w:rsidR="004962F6" w:rsidRPr="00823E94">
        <w:rPr>
          <w:rFonts w:ascii="Times New Roman" w:hAnsi="Times New Roman"/>
          <w:sz w:val="24"/>
          <w:szCs w:val="24"/>
          <w:lang w:val="sk-SK"/>
        </w:rPr>
        <w:t xml:space="preserve">efundáciou </w:t>
      </w:r>
      <w:r w:rsidR="00B3287D" w:rsidRPr="00823E94">
        <w:rPr>
          <w:rFonts w:ascii="Times New Roman" w:hAnsi="Times New Roman"/>
          <w:sz w:val="24"/>
          <w:szCs w:val="24"/>
          <w:lang w:val="sk-SK"/>
        </w:rPr>
        <w:t>až do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100% skutočne vynaložených oprávnených nákladov.</w:t>
      </w:r>
    </w:p>
    <w:p w14:paraId="32EF0A6E" w14:textId="3BBF3099" w:rsidR="00AC6003" w:rsidRPr="00823E94" w:rsidRDefault="00AC6003" w:rsidP="00D8230D">
      <w:pPr>
        <w:numPr>
          <w:ilvl w:val="0"/>
          <w:numId w:val="28"/>
        </w:numPr>
        <w:tabs>
          <w:tab w:val="left" w:pos="851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Oprávnené náklady: náklady, priamo </w:t>
      </w:r>
      <w:r w:rsidR="00BE03DC" w:rsidRPr="00823E94">
        <w:rPr>
          <w:rFonts w:ascii="Times New Roman" w:hAnsi="Times New Roman"/>
          <w:sz w:val="24"/>
          <w:szCs w:val="24"/>
          <w:lang w:val="sk-SK"/>
        </w:rPr>
        <w:t xml:space="preserve">súvisiace </w:t>
      </w:r>
      <w:r w:rsidRPr="00823E94">
        <w:rPr>
          <w:rFonts w:ascii="Times New Roman" w:hAnsi="Times New Roman"/>
          <w:sz w:val="24"/>
          <w:szCs w:val="24"/>
          <w:lang w:val="sk-SK"/>
        </w:rPr>
        <w:t>s účastníkmi so špeciálnymi potrebami a ich sprevádzajúcimi osobami (vrátane nákladov spojených s cestou a pobytom, ak sú odôvodnené</w:t>
      </w:r>
      <w:r w:rsidR="00BE03DC" w:rsidRPr="00823E94">
        <w:rPr>
          <w:rFonts w:ascii="Times New Roman" w:hAnsi="Times New Roman"/>
          <w:sz w:val="24"/>
          <w:szCs w:val="24"/>
          <w:lang w:val="sk-SK"/>
        </w:rPr>
        <w:t>)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, pokiaľ </w:t>
      </w:r>
      <w:r w:rsidR="00BE03DC" w:rsidRPr="00823E94">
        <w:rPr>
          <w:rFonts w:ascii="Times New Roman" w:hAnsi="Times New Roman"/>
          <w:sz w:val="24"/>
          <w:szCs w:val="24"/>
          <w:lang w:val="sk-SK"/>
        </w:rPr>
        <w:t xml:space="preserve">jednotkový príspevok </w:t>
      </w:r>
      <w:r w:rsidRPr="00823E94">
        <w:rPr>
          <w:rFonts w:ascii="Times New Roman" w:hAnsi="Times New Roman"/>
          <w:sz w:val="24"/>
          <w:szCs w:val="24"/>
          <w:lang w:val="sk-SK"/>
        </w:rPr>
        <w:t>pre týchto účastníkov nebol žiadaný v rozpočtových kategóriách „cestovné náklady“ a „individuálna podpora“) a ktoré sú dodatočné k nákladom podporeným jednotkovým príspevkom, ako je uvedené v časti I tejto prílohy.</w:t>
      </w:r>
    </w:p>
    <w:p w14:paraId="176FDC87" w14:textId="30B824B1" w:rsidR="002D335F" w:rsidRPr="00823E94" w:rsidRDefault="00D02583" w:rsidP="001E055F">
      <w:pPr>
        <w:tabs>
          <w:tab w:val="left" w:pos="851"/>
        </w:tabs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Po ukončení výberu účastníkov  môžu byť f</w:t>
      </w:r>
      <w:r w:rsidR="002D335F" w:rsidRPr="00823E94">
        <w:rPr>
          <w:rFonts w:ascii="Times New Roman" w:hAnsi="Times New Roman"/>
          <w:sz w:val="24"/>
          <w:szCs w:val="24"/>
          <w:lang w:val="sk-SK"/>
        </w:rPr>
        <w:t>inancie na podporu na špeciálne potreby využité dvoma spôsobmi. Príjemca môže predložiť žiadosť o</w:t>
      </w:r>
      <w:r w:rsidR="00081099" w:rsidRPr="00823E94">
        <w:rPr>
          <w:rFonts w:ascii="Times New Roman" w:hAnsi="Times New Roman"/>
          <w:sz w:val="24"/>
          <w:szCs w:val="24"/>
          <w:lang w:val="sk-SK"/>
        </w:rPr>
        <w:t> </w:t>
      </w:r>
      <w:r w:rsidR="002D335F" w:rsidRPr="00823E94">
        <w:rPr>
          <w:rFonts w:ascii="Times New Roman" w:hAnsi="Times New Roman"/>
          <w:sz w:val="24"/>
          <w:szCs w:val="24"/>
          <w:lang w:val="sk-SK"/>
        </w:rPr>
        <w:t>financovanie</w:t>
      </w:r>
      <w:r w:rsidR="00081099" w:rsidRPr="00823E94">
        <w:rPr>
          <w:rFonts w:ascii="Times New Roman" w:hAnsi="Times New Roman"/>
          <w:sz w:val="24"/>
          <w:szCs w:val="24"/>
          <w:lang w:val="sk-SK"/>
        </w:rPr>
        <w:t xml:space="preserve"> národnej agentúre </w:t>
      </w:r>
      <w:r w:rsidR="002D335F" w:rsidRPr="00823E94">
        <w:rPr>
          <w:rFonts w:ascii="Times New Roman" w:hAnsi="Times New Roman"/>
          <w:sz w:val="24"/>
          <w:szCs w:val="24"/>
          <w:lang w:val="sk-SK"/>
        </w:rPr>
        <w:t xml:space="preserve">alebo 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zrealizovať </w:t>
      </w:r>
      <w:r w:rsidR="002D335F" w:rsidRPr="00823E94">
        <w:rPr>
          <w:rFonts w:ascii="Times New Roman" w:hAnsi="Times New Roman"/>
          <w:sz w:val="24"/>
          <w:szCs w:val="24"/>
          <w:lang w:val="sk-SK"/>
        </w:rPr>
        <w:t>presun medzi rozpočtovými položkami v súlade s článkom I.3.3.</w:t>
      </w:r>
    </w:p>
    <w:p w14:paraId="396BF438" w14:textId="5C336401" w:rsidR="00A01E48" w:rsidRPr="00823E94" w:rsidRDefault="00A01E48" w:rsidP="00D8230D">
      <w:pPr>
        <w:numPr>
          <w:ilvl w:val="0"/>
          <w:numId w:val="28"/>
        </w:numPr>
        <w:tabs>
          <w:tab w:val="left" w:pos="851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Podporné dokumenty: faktúry týkajúce sa </w:t>
      </w:r>
      <w:r w:rsidR="008D23FA" w:rsidRPr="00823E94">
        <w:rPr>
          <w:rFonts w:ascii="Times New Roman" w:hAnsi="Times New Roman"/>
          <w:sz w:val="24"/>
          <w:szCs w:val="24"/>
          <w:lang w:val="sk-SK"/>
        </w:rPr>
        <w:t>súvisiacich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nákladov, špecifikujúce názov a adresu inštitúcie vystavujúcej faktúru, sumu, menu a dátum vystavenia faktúry.</w:t>
      </w:r>
    </w:p>
    <w:p w14:paraId="7D84E5A0" w14:textId="3A905E05" w:rsidR="00A01E48" w:rsidRPr="00823E94" w:rsidRDefault="00A01E48" w:rsidP="00D8230D">
      <w:pPr>
        <w:numPr>
          <w:ilvl w:val="0"/>
          <w:numId w:val="28"/>
        </w:numPr>
        <w:tabs>
          <w:tab w:val="left" w:pos="851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Podávanie správ: </w:t>
      </w:r>
    </w:p>
    <w:p w14:paraId="6E6A30CB" w14:textId="77777777" w:rsidR="00A01E48" w:rsidRPr="00823E94" w:rsidRDefault="00A01E48" w:rsidP="00D8230D">
      <w:pPr>
        <w:pStyle w:val="ListParagraph"/>
        <w:numPr>
          <w:ilvl w:val="0"/>
          <w:numId w:val="3"/>
        </w:numPr>
        <w:tabs>
          <w:tab w:val="left" w:pos="1701"/>
        </w:tabs>
        <w:spacing w:after="120" w:line="24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823E9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Príjemca je povinný uviesť v Mobility </w:t>
      </w:r>
      <w:proofErr w:type="spellStart"/>
      <w:r w:rsidRPr="00823E94">
        <w:rPr>
          <w:rFonts w:ascii="Times New Roman" w:eastAsia="Calibri" w:hAnsi="Times New Roman" w:cs="Times New Roman"/>
          <w:sz w:val="24"/>
          <w:szCs w:val="24"/>
          <w:lang w:val="sk-SK"/>
        </w:rPr>
        <w:t>Tool</w:t>
      </w:r>
      <w:proofErr w:type="spellEnd"/>
      <w:r w:rsidRPr="00823E94">
        <w:rPr>
          <w:rFonts w:ascii="Times New Roman" w:eastAsia="Calibri" w:hAnsi="Times New Roman" w:cs="Times New Roman"/>
          <w:sz w:val="24"/>
          <w:szCs w:val="24"/>
          <w:lang w:val="sk-SK"/>
        </w:rPr>
        <w:t>+ informáciu o tom, či bola použitá dodatočná grantová podpora na podporu špeciálnych potrieb pre niektorého z účastníkov so špeciálnymi potrebami;</w:t>
      </w:r>
    </w:p>
    <w:p w14:paraId="7ADEDDBE" w14:textId="598673D4" w:rsidR="00A01E48" w:rsidRPr="00823E94" w:rsidRDefault="00A01E48" w:rsidP="00D8230D">
      <w:pPr>
        <w:pStyle w:val="ListParagraph"/>
        <w:numPr>
          <w:ilvl w:val="0"/>
          <w:numId w:val="3"/>
        </w:numPr>
        <w:tabs>
          <w:tab w:val="left" w:pos="1701"/>
        </w:tabs>
        <w:spacing w:after="120" w:line="24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823E9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V takom prípade je príjemca povinný uviesť v Mobility </w:t>
      </w:r>
      <w:proofErr w:type="spellStart"/>
      <w:r w:rsidRPr="00823E94">
        <w:rPr>
          <w:rFonts w:ascii="Times New Roman" w:eastAsia="Calibri" w:hAnsi="Times New Roman" w:cs="Times New Roman"/>
          <w:sz w:val="24"/>
          <w:szCs w:val="24"/>
          <w:lang w:val="sk-SK"/>
        </w:rPr>
        <w:t>Tool</w:t>
      </w:r>
      <w:proofErr w:type="spellEnd"/>
      <w:r w:rsidRPr="00823E94">
        <w:rPr>
          <w:rFonts w:ascii="Times New Roman" w:eastAsia="Calibri" w:hAnsi="Times New Roman" w:cs="Times New Roman"/>
          <w:sz w:val="24"/>
          <w:szCs w:val="24"/>
          <w:lang w:val="sk-SK"/>
        </w:rPr>
        <w:t>+ informácie o type dodatočných nákladov, ako aj reálnu výšku súvisiacich dodatočných nákladov, ktoré vznikli</w:t>
      </w:r>
      <w:r w:rsidR="001E055F">
        <w:rPr>
          <w:rFonts w:ascii="Times New Roman" w:eastAsia="Calibri" w:hAnsi="Times New Roman" w:cs="Times New Roman"/>
          <w:sz w:val="24"/>
          <w:szCs w:val="24"/>
          <w:lang w:val="sk-SK"/>
        </w:rPr>
        <w:t>.</w:t>
      </w:r>
    </w:p>
    <w:p w14:paraId="52EDC7EB" w14:textId="20F6143A" w:rsidR="00A27973" w:rsidRPr="00EB47D0" w:rsidRDefault="00EB47D0" w:rsidP="00823E94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EB47D0">
        <w:rPr>
          <w:rFonts w:ascii="Times New Roman" w:hAnsi="Times New Roman"/>
          <w:b/>
          <w:sz w:val="24"/>
          <w:szCs w:val="24"/>
          <w:u w:val="single"/>
          <w:lang w:val="sk-SK"/>
        </w:rPr>
        <w:lastRenderedPageBreak/>
        <w:t xml:space="preserve">B. </w:t>
      </w:r>
      <w:r w:rsidR="00A27973" w:rsidRPr="00EB47D0">
        <w:rPr>
          <w:rFonts w:ascii="Times New Roman" w:hAnsi="Times New Roman"/>
          <w:b/>
          <w:sz w:val="24"/>
          <w:szCs w:val="24"/>
          <w:u w:val="single"/>
          <w:lang w:val="sk-SK"/>
        </w:rPr>
        <w:t>Mimoriadne náklady</w:t>
      </w:r>
    </w:p>
    <w:p w14:paraId="071B72FE" w14:textId="77777777" w:rsidR="004962F6" w:rsidRPr="00823E94" w:rsidRDefault="00A27973" w:rsidP="00D8230D">
      <w:pPr>
        <w:numPr>
          <w:ilvl w:val="0"/>
          <w:numId w:val="29"/>
        </w:numPr>
        <w:tabs>
          <w:tab w:val="left" w:pos="1134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Výpočet výšky grantu: grant je </w:t>
      </w:r>
      <w:r w:rsidR="008418A1" w:rsidRPr="00823E94">
        <w:rPr>
          <w:rFonts w:ascii="Times New Roman" w:hAnsi="Times New Roman"/>
          <w:sz w:val="24"/>
          <w:szCs w:val="24"/>
          <w:lang w:val="sk-SK"/>
        </w:rPr>
        <w:t>refundáciou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 75% oprávnených nákladov, ktoré skutočne vznikli (pre prípad finančnej </w:t>
      </w:r>
      <w:r w:rsidR="00C93BA0" w:rsidRPr="00823E94">
        <w:rPr>
          <w:rFonts w:ascii="Times New Roman" w:hAnsi="Times New Roman"/>
          <w:sz w:val="24"/>
          <w:szCs w:val="24"/>
          <w:lang w:val="sk-SK"/>
        </w:rPr>
        <w:t>zábezpeky</w:t>
      </w:r>
      <w:r w:rsidRPr="00823E94">
        <w:rPr>
          <w:rFonts w:ascii="Times New Roman" w:hAnsi="Times New Roman"/>
          <w:sz w:val="24"/>
          <w:szCs w:val="24"/>
          <w:lang w:val="sk-SK"/>
        </w:rPr>
        <w:t>).</w:t>
      </w:r>
    </w:p>
    <w:p w14:paraId="43172DF9" w14:textId="77777777" w:rsidR="004962F6" w:rsidRPr="00823E94" w:rsidRDefault="00A27973" w:rsidP="00D8230D">
      <w:pPr>
        <w:numPr>
          <w:ilvl w:val="0"/>
          <w:numId w:val="29"/>
        </w:numPr>
        <w:tabs>
          <w:tab w:val="left" w:pos="1134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Oprávnené náklady: náklady súvisiace so zábezpekou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predfinancovania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podanej príjemcom v prípadoch, pokiaľ bola zábezpeka vyžadovaná </w:t>
      </w:r>
      <w:r w:rsidR="000433D0" w:rsidRPr="00823E94">
        <w:rPr>
          <w:rFonts w:ascii="Times New Roman" w:hAnsi="Times New Roman"/>
          <w:sz w:val="24"/>
          <w:szCs w:val="24"/>
          <w:lang w:val="sk-SK"/>
        </w:rPr>
        <w:t>zo strany národnej agentúry t</w:t>
      </w:r>
      <w:r w:rsidRPr="00823E94">
        <w:rPr>
          <w:rFonts w:ascii="Times New Roman" w:hAnsi="Times New Roman"/>
          <w:sz w:val="24"/>
          <w:szCs w:val="24"/>
          <w:lang w:val="sk-SK"/>
        </w:rPr>
        <w:t>ak, ako to špecifikuje článok I.4.2 zmluvy.</w:t>
      </w:r>
    </w:p>
    <w:p w14:paraId="6B4B9008" w14:textId="77777777" w:rsidR="004962F6" w:rsidRPr="00823E94" w:rsidRDefault="00A27973" w:rsidP="00D8230D">
      <w:pPr>
        <w:numPr>
          <w:ilvl w:val="0"/>
          <w:numId w:val="29"/>
        </w:numPr>
        <w:tabs>
          <w:tab w:val="left" w:pos="1134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Podporné dokumenty:</w:t>
      </w:r>
      <w:r w:rsidR="000433D0" w:rsidRPr="00823E94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823E94">
        <w:rPr>
          <w:rFonts w:ascii="Times New Roman" w:hAnsi="Times New Roman"/>
          <w:sz w:val="24"/>
          <w:szCs w:val="24"/>
          <w:lang w:val="sk-SK"/>
        </w:rPr>
        <w:t> prípade finančnej zábezpeky: doklad o výške nákladov na finančnú zábezpeku vystavený poskytovateľom zábezpeky príjemcovi, špecifikujúci názov a adresu inštitúcie vystavujúcej finančnú zábezpeku, sumu a menu nákladov na zábezpeku a dátum a podpis štatutárneho zástupcu inštitúcie vystavujúcej zábezp</w:t>
      </w:r>
      <w:r w:rsidR="004962F6" w:rsidRPr="00823E94">
        <w:rPr>
          <w:rFonts w:ascii="Times New Roman" w:hAnsi="Times New Roman"/>
          <w:sz w:val="24"/>
          <w:szCs w:val="24"/>
          <w:lang w:val="sk-SK"/>
        </w:rPr>
        <w:t xml:space="preserve">eku. </w:t>
      </w:r>
    </w:p>
    <w:p w14:paraId="4CE1764C" w14:textId="77777777" w:rsidR="001F0862" w:rsidRPr="00823E94" w:rsidRDefault="004962F6" w:rsidP="00D8230D">
      <w:pPr>
        <w:numPr>
          <w:ilvl w:val="0"/>
          <w:numId w:val="29"/>
        </w:numPr>
        <w:tabs>
          <w:tab w:val="left" w:pos="1134"/>
        </w:tabs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</w:t>
      </w:r>
      <w:r w:rsidR="001F0862" w:rsidRPr="00823E94">
        <w:rPr>
          <w:rFonts w:ascii="Times New Roman" w:hAnsi="Times New Roman"/>
          <w:sz w:val="24"/>
          <w:szCs w:val="24"/>
          <w:lang w:val="sk-SK"/>
        </w:rPr>
        <w:t xml:space="preserve">odávanie správ: Príjemca je povinný uviesť v Mobility </w:t>
      </w:r>
      <w:proofErr w:type="spellStart"/>
      <w:r w:rsidR="001F0862" w:rsidRPr="00823E94">
        <w:rPr>
          <w:rFonts w:ascii="Times New Roman" w:hAnsi="Times New Roman"/>
          <w:sz w:val="24"/>
          <w:szCs w:val="24"/>
          <w:lang w:val="sk-SK"/>
        </w:rPr>
        <w:t>Tool</w:t>
      </w:r>
      <w:proofErr w:type="spellEnd"/>
      <w:r w:rsidR="001F0862" w:rsidRPr="00823E94">
        <w:rPr>
          <w:rFonts w:ascii="Times New Roman" w:hAnsi="Times New Roman"/>
          <w:sz w:val="24"/>
          <w:szCs w:val="24"/>
          <w:lang w:val="sk-SK"/>
        </w:rPr>
        <w:t>+ výšku mimoriadnych nákladov skutočne vynaložených na finančnú zábezpeku.</w:t>
      </w:r>
    </w:p>
    <w:p w14:paraId="36EFA7DF" w14:textId="77777777" w:rsidR="001E055F" w:rsidRDefault="001E055F" w:rsidP="00823E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008410F6" w14:textId="1412F938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sz w:val="24"/>
          <w:szCs w:val="24"/>
          <w:lang w:val="sk-SK"/>
        </w:rPr>
        <w:t>III. PODMIENKY OPRÁVNENOSTI PROJEKTOVÝCH AKTIVÍT</w:t>
      </w:r>
    </w:p>
    <w:p w14:paraId="658B6E8E" w14:textId="77777777" w:rsidR="00FE04FA" w:rsidRPr="00823E94" w:rsidRDefault="00FE04FA" w:rsidP="00D8230D">
      <w:pPr>
        <w:numPr>
          <w:ilvl w:val="0"/>
          <w:numId w:val="4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Príjemca je povinný zabezpečiť, aby boli aktivity projektu podporeného grantom oprávnené v súlade s pravidlami uvedenými v programovej príručne Erasmus+ pre jednotlivé kľúčové akcie a jednotlivé sektory.</w:t>
      </w:r>
    </w:p>
    <w:p w14:paraId="311D187A" w14:textId="30690B84" w:rsidR="00FE04FA" w:rsidRPr="00823E94" w:rsidRDefault="00FE04FA" w:rsidP="00D8230D">
      <w:pPr>
        <w:numPr>
          <w:ilvl w:val="0"/>
          <w:numId w:val="4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Realizované aktivity, ktoré nie sú v súlade s pravidlami uvedenými v programovej príručke Erasmus+ doplnenej pravidlami uvedenými v tejto prílohe,  je NA povinná považovať za neoprávnené a výšku grantu zodpovedajúcu týmto aktivitám je príjemca povinný vrátiť v</w:t>
      </w:r>
      <w:r w:rsidR="00823E94">
        <w:rPr>
          <w:rFonts w:ascii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plnej výške.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Vratka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musí zahŕňať všetky rozpočtové kategórie, ktoré sa týkajú aktivity označenej za neoprávnenú.</w:t>
      </w:r>
    </w:p>
    <w:p w14:paraId="4440CBEC" w14:textId="77777777" w:rsidR="00FE04FA" w:rsidRPr="00823E94" w:rsidRDefault="00FE04FA" w:rsidP="00D8230D">
      <w:pPr>
        <w:numPr>
          <w:ilvl w:val="0"/>
          <w:numId w:val="4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Oprávnené minimálne trvanie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mobilitných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aktivít uvedené v Príručke programu Erasmus+ je minimálne trvanie aktivity okrem času na cestu.</w:t>
      </w:r>
    </w:p>
    <w:p w14:paraId="04DC0124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72484D8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sz w:val="24"/>
          <w:szCs w:val="24"/>
          <w:lang w:val="sk-SK"/>
        </w:rPr>
        <w:t xml:space="preserve">IV. PRAVIDLÁ A PODMIENKY PRE KRÁTENIE GRANTU Z DÔVODU SLABEJ, ČIASTOČNEJ ALEBO NESKOREJ REALIZÁCIE </w:t>
      </w:r>
    </w:p>
    <w:p w14:paraId="1F08FFE1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O tom, že realizácia projektu je slabá, čiastočná alebo neskorá, môže rozhodnúť NA, a to na základe:</w:t>
      </w:r>
    </w:p>
    <w:p w14:paraId="374D1110" w14:textId="77777777" w:rsidR="00FE04FA" w:rsidRPr="00823E94" w:rsidRDefault="00FE04FA" w:rsidP="00D8230D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záverečnej správy podanej príjemcom (vrátane správ od jednotlivých účastníkov, ktorí sa zúčastnili na mobilite);</w:t>
      </w:r>
    </w:p>
    <w:p w14:paraId="229460BD" w14:textId="77777777" w:rsidR="00FE04FA" w:rsidRPr="00823E94" w:rsidRDefault="00FE04FA" w:rsidP="00D8230D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NA môže vziať do úvahy tiež informácie, ktoré získala z akéhokoľvek iného zdroja, ktoré potvrdzujú, že projekt nie je realizovaný v súlade so zmluvnými podmienkami. Medzi iné zdroje informácií môžu patriť monitorovacie návštevy, hĺbkové kontroly alebo kontroly na mieste, ktoré vykoná NA;</w:t>
      </w:r>
    </w:p>
    <w:p w14:paraId="315008E7" w14:textId="77777777" w:rsidR="00FE04FA" w:rsidRPr="00823E94" w:rsidRDefault="00FE04FA" w:rsidP="00D8230D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Záverečná správa bude hodnotená na základe kvalitatívnych kritérií a bodovaná na celkovej stupnici maximálne 100 bodov. Ak je záverečná správa ohodnotená celkovo menej ako 50 bodov, NA môže skrátiť čiastku záverečného grantu na organizačnú </w:t>
      </w:r>
      <w:r w:rsidRPr="00823E94">
        <w:rPr>
          <w:rFonts w:ascii="Times New Roman" w:hAnsi="Times New Roman"/>
          <w:sz w:val="24"/>
          <w:szCs w:val="24"/>
          <w:lang w:val="sk-SK"/>
        </w:rPr>
        <w:lastRenderedPageBreak/>
        <w:t>podporu na základe slabej, čiastočnej alebo neskorej realizácie projektu, aj keď všetky aktivity, o ktorých podá príjemca správu, budú oprávnené a skutočne sa zrealizovali;</w:t>
      </w:r>
    </w:p>
    <w:p w14:paraId="66726261" w14:textId="77777777" w:rsidR="00FE04FA" w:rsidRPr="00823E94" w:rsidRDefault="00FE04FA" w:rsidP="00D8230D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 prípade, že NA usúdi, že realizácia projektu nerešpektuje záväzok kvality, ku ktorému sa príjemca zaviazal, NA je oprávnená dodatočne požiadať príjemcu, aby vypracoval s zrealizoval akčný plán do dohodnutého dátumu a tým zabezpečil dodržiavanie príslušných požiadaviek. Ak príjemca neuskutoční akčný plán na zodpovedajúcej úrovni do stanoveného dátumu, NA je oprávnená odporučiť Európskej komisii, aby odobrala príjemcovi Erasmus Chartu pre vysokoškolské vzdelávanie.</w:t>
      </w:r>
    </w:p>
    <w:p w14:paraId="4D35029F" w14:textId="77777777" w:rsidR="00FE04FA" w:rsidRPr="00823E94" w:rsidRDefault="00FE04FA" w:rsidP="00D8230D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NA bude hodnotiť záverečnú správu  spolu so správami účastníkov mobilít na základe spoločného súboru kritérií kvality zameraných na:</w:t>
      </w:r>
    </w:p>
    <w:p w14:paraId="05B2705F" w14:textId="77777777" w:rsidR="00FE04FA" w:rsidRPr="00823E94" w:rsidRDefault="00FE04FA" w:rsidP="00F12227">
      <w:pPr>
        <w:numPr>
          <w:ilvl w:val="1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mieru, do akej bola akcia realizovaná v súlade so schválenou zmluvou o poskytnutí grantu; </w:t>
      </w:r>
    </w:p>
    <w:p w14:paraId="298DA17D" w14:textId="77777777" w:rsidR="00FE04FA" w:rsidRPr="00823E94" w:rsidRDefault="00FE04FA" w:rsidP="00F12227">
      <w:pPr>
        <w:numPr>
          <w:ilvl w:val="1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mieru, do akej bola akcia realizovaná s ohľadom na kvalitu a dodržiavanie požiadaviek stano</w:t>
      </w:r>
      <w:bookmarkStart w:id="0" w:name="_GoBack"/>
      <w:bookmarkEnd w:id="0"/>
      <w:r w:rsidRPr="00823E94">
        <w:rPr>
          <w:rFonts w:ascii="Times New Roman" w:hAnsi="Times New Roman"/>
          <w:sz w:val="24"/>
          <w:szCs w:val="24"/>
          <w:lang w:val="sk-SK"/>
        </w:rPr>
        <w:t>vených v Erasmus charte pre VŠ vzdelávanie</w:t>
      </w:r>
      <w:r w:rsidR="004962F6" w:rsidRPr="00823E9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a v iných platných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medziinštitucionálnych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zmluvách;</w:t>
      </w:r>
    </w:p>
    <w:p w14:paraId="3978FBFF" w14:textId="77777777" w:rsidR="00FE04FA" w:rsidRPr="00823E94" w:rsidRDefault="00FE04FA" w:rsidP="00F12227">
      <w:pPr>
        <w:numPr>
          <w:ilvl w:val="1"/>
          <w:numId w:val="3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mieru, do akej boli čiastky grantu pre účastníkov mobility prevedené účastníkom v súlade so zmluvnými ustanoveniami stanovenými v zmluve medzi príjemcom a účastníkom podľa vzoru poskytnutého v Prílohe V zmluvy.</w:t>
      </w:r>
    </w:p>
    <w:p w14:paraId="71683954" w14:textId="77777777" w:rsidR="00FE04FA" w:rsidRPr="00823E94" w:rsidRDefault="00FE04FA" w:rsidP="00D8230D">
      <w:pPr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 prípade slabej, čiastočnej alebo neskorej realizácie projektu môže byť výška konečného grantu na organizačnú podporu krátená nasledujúcim spôsobom:</w:t>
      </w:r>
    </w:p>
    <w:p w14:paraId="466C4799" w14:textId="77777777" w:rsidR="00FE04FA" w:rsidRPr="00823E94" w:rsidRDefault="00FE04FA" w:rsidP="00D8230D">
      <w:pPr>
        <w:numPr>
          <w:ilvl w:val="1"/>
          <w:numId w:val="18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25%, ak bodové hodnotenie záverečnej správy bude minimálne 40 a menej ako 50 bodov;</w:t>
      </w:r>
    </w:p>
    <w:p w14:paraId="43038AA1" w14:textId="77777777" w:rsidR="00FE04FA" w:rsidRPr="00823E94" w:rsidRDefault="00FE04FA" w:rsidP="00D8230D">
      <w:pPr>
        <w:numPr>
          <w:ilvl w:val="1"/>
          <w:numId w:val="18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50%, ak bodové hodnotenie záverečnej správy bude minimálne 25 a menej ako 40 bodov;</w:t>
      </w:r>
    </w:p>
    <w:p w14:paraId="79EA185A" w14:textId="77777777" w:rsidR="00FE04FA" w:rsidRPr="00823E94" w:rsidRDefault="00FE04FA" w:rsidP="00D8230D">
      <w:pPr>
        <w:numPr>
          <w:ilvl w:val="1"/>
          <w:numId w:val="18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75%, ak bodové hodnotenie záverečnej správy bude menej ako 25 bodov.</w:t>
      </w:r>
    </w:p>
    <w:p w14:paraId="05EF9DEF" w14:textId="77777777" w:rsidR="00187F65" w:rsidRDefault="00187F65" w:rsidP="00823E94">
      <w:pPr>
        <w:widowControl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24B53B0B" w14:textId="0F388269" w:rsidR="00FE04FA" w:rsidRPr="00823E94" w:rsidRDefault="00FE04FA" w:rsidP="00823E94">
      <w:pPr>
        <w:widowControl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sz w:val="24"/>
          <w:szCs w:val="24"/>
          <w:lang w:val="sk-SK"/>
        </w:rPr>
        <w:t xml:space="preserve">V. ÚPRAVY GRANTU </w:t>
      </w:r>
    </w:p>
    <w:p w14:paraId="57A6E2B2" w14:textId="59DE5DE1" w:rsidR="00FE04FA" w:rsidRPr="00823E94" w:rsidRDefault="00FE04FA" w:rsidP="00D8230D">
      <w:pPr>
        <w:widowControl w:val="0"/>
        <w:numPr>
          <w:ilvl w:val="0"/>
          <w:numId w:val="31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823E94">
        <w:rPr>
          <w:rFonts w:ascii="Times New Roman" w:hAnsi="Times New Roman"/>
          <w:sz w:val="24"/>
          <w:lang w:val="sk-SK"/>
        </w:rPr>
        <w:t>Úprava grantu z dôvodu prerozdeľovania finančných prostriedkov alebo získania dodatočných finančných prostriedkov</w:t>
      </w:r>
    </w:p>
    <w:p w14:paraId="3853AE5E" w14:textId="77777777" w:rsidR="00816C76" w:rsidRPr="00823E94" w:rsidRDefault="00FE04FA" w:rsidP="00D8230D">
      <w:pPr>
        <w:widowControl w:val="0"/>
        <w:numPr>
          <w:ilvl w:val="0"/>
          <w:numId w:val="32"/>
        </w:numPr>
        <w:spacing w:after="120" w:line="240" w:lineRule="auto"/>
        <w:ind w:left="1843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 prípade prerozdeľovania finančných prostriedkov alebo v prípade získania dodatočných finančných prostriedkov zo strany NA pre účely prerozdelenia medzi príjemcov môže byť celková výška grantu uvedená v článku I.3.1 navýšená v súlade s nasledujúcimi podmienkami:</w:t>
      </w:r>
    </w:p>
    <w:p w14:paraId="7D550E9B" w14:textId="77777777" w:rsidR="00816C76" w:rsidRPr="00823E94" w:rsidRDefault="00FE04FA" w:rsidP="00D8230D">
      <w:pPr>
        <w:widowControl w:val="0"/>
        <w:numPr>
          <w:ilvl w:val="0"/>
          <w:numId w:val="32"/>
        </w:numPr>
        <w:spacing w:after="120" w:line="240" w:lineRule="auto"/>
        <w:ind w:left="1843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príjemcom nebol udelený grant v plnej požadovanej výške počas hlavného výberového kola z dôvodu vysokého dopytu a obmedzeného rozpočtu;</w:t>
      </w:r>
    </w:p>
    <w:p w14:paraId="431E54EF" w14:textId="77777777" w:rsidR="00816C76" w:rsidRPr="00823E94" w:rsidRDefault="00FE04FA" w:rsidP="00D8230D">
      <w:pPr>
        <w:widowControl w:val="0"/>
        <w:numPr>
          <w:ilvl w:val="0"/>
          <w:numId w:val="32"/>
        </w:numPr>
        <w:spacing w:after="120" w:line="240" w:lineRule="auto"/>
        <w:ind w:left="1843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mobility s danou partnerskou krajinou boli žiadané v žiadosti o grant a prešli pôvodným kvalitatívnym hodnotením; </w:t>
      </w:r>
    </w:p>
    <w:p w14:paraId="7DAD1BC7" w14:textId="77777777" w:rsidR="00FE04FA" w:rsidRPr="00823E94" w:rsidRDefault="00FE04FA" w:rsidP="00D8230D">
      <w:pPr>
        <w:widowControl w:val="0"/>
        <w:numPr>
          <w:ilvl w:val="0"/>
          <w:numId w:val="32"/>
        </w:numPr>
        <w:spacing w:after="120" w:line="240" w:lineRule="auto"/>
        <w:ind w:left="1843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na základe informácií poskytnutých v ad hoc priebežnej správe a údajov </w:t>
      </w:r>
      <w:r w:rsidRPr="00823E94">
        <w:rPr>
          <w:rFonts w:ascii="Times New Roman" w:hAnsi="Times New Roman"/>
          <w:sz w:val="24"/>
          <w:szCs w:val="24"/>
          <w:lang w:val="sk-SK"/>
        </w:rPr>
        <w:lastRenderedPageBreak/>
        <w:t xml:space="preserve">uvedených v Mobility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Tool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>+ je úroveň realizácie pôvodne schválených mobilít v súlade so zmluvou o grante.</w:t>
      </w:r>
    </w:p>
    <w:p w14:paraId="750FA204" w14:textId="77777777" w:rsidR="00FE04FA" w:rsidRPr="00823E94" w:rsidRDefault="00FE04FA" w:rsidP="00D8230D">
      <w:pPr>
        <w:widowControl w:val="0"/>
        <w:numPr>
          <w:ilvl w:val="0"/>
          <w:numId w:val="32"/>
        </w:numPr>
        <w:spacing w:after="120" w:line="240" w:lineRule="auto"/>
        <w:ind w:left="1843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Pokiaľ priebežná správa vykazuje nižší počet alebo kratšie trvanie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mobilitných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aktivít, čím vzniká predpoklad, že príjemca nebude schopný plne využiť schválený grant, celková výška grantu stanovená v článku I.3.1 môže byť  vo výnimočných prípadoch znížená </w:t>
      </w:r>
      <w:r w:rsidR="00956B1F" w:rsidRPr="00823E94">
        <w:rPr>
          <w:rFonts w:ascii="Times New Roman" w:hAnsi="Times New Roman"/>
          <w:sz w:val="24"/>
          <w:szCs w:val="24"/>
          <w:lang w:val="sk-SK"/>
        </w:rPr>
        <w:t xml:space="preserve">zo strany národnej agentúry </w:t>
      </w:r>
      <w:r w:rsidRPr="00823E94">
        <w:rPr>
          <w:rFonts w:ascii="Times New Roman" w:hAnsi="Times New Roman"/>
          <w:sz w:val="24"/>
          <w:szCs w:val="24"/>
          <w:lang w:val="sk-SK"/>
        </w:rPr>
        <w:t>na základe jednostranného dodatku k zmluve. Príjemca má 30 dní na zaslanie pripomienok.</w:t>
      </w:r>
    </w:p>
    <w:p w14:paraId="73C7760D" w14:textId="10DAF090" w:rsidR="00FE04FA" w:rsidRPr="00823E94" w:rsidRDefault="00FE04FA" w:rsidP="00D8230D">
      <w:pPr>
        <w:widowControl w:val="0"/>
        <w:numPr>
          <w:ilvl w:val="0"/>
          <w:numId w:val="32"/>
        </w:numPr>
        <w:spacing w:after="120" w:line="240" w:lineRule="auto"/>
        <w:ind w:left="1843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Konečná výška udeleného grantu nesmie presiahnuť sumu, ktorú žiadateľ požadoval v</w:t>
      </w:r>
      <w:r w:rsidR="00823E94">
        <w:rPr>
          <w:rFonts w:ascii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hAnsi="Times New Roman"/>
          <w:sz w:val="24"/>
          <w:szCs w:val="24"/>
          <w:lang w:val="sk-SK"/>
        </w:rPr>
        <w:t>pôvodnej žiadosti o grant. Výška žiadaného grantu predstavuje celkový grant žiadaný v pôvodnej žiadosti o grant, bez ohľadu na jednotlivé sumy, žiadané v jednotlivých finančných obálkach.</w:t>
      </w:r>
    </w:p>
    <w:p w14:paraId="4608C1A4" w14:textId="77777777" w:rsidR="00FE04FA" w:rsidRPr="00823E94" w:rsidRDefault="00FE04FA" w:rsidP="00D8230D">
      <w:pPr>
        <w:widowControl w:val="0"/>
        <w:numPr>
          <w:ilvl w:val="0"/>
          <w:numId w:val="32"/>
        </w:numPr>
        <w:spacing w:after="120" w:line="240" w:lineRule="auto"/>
        <w:ind w:left="1843" w:hanging="426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Výška konečného grantu udeleného na medzinárodnú kreditovú mobilitu jednotlivcov môže vo výnimočných prípadoch presiahnuť žiadanú sumu a to v prípade, že dodatočné prostriedky sú žiadané na podporu pre účastníkov so špeciálnymi potrebami.</w:t>
      </w:r>
    </w:p>
    <w:p w14:paraId="58F9803A" w14:textId="246BF823" w:rsidR="00FE04FA" w:rsidRPr="00823E94" w:rsidRDefault="00FE04FA" w:rsidP="00D8230D">
      <w:pPr>
        <w:widowControl w:val="0"/>
        <w:numPr>
          <w:ilvl w:val="0"/>
          <w:numId w:val="31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823E94">
        <w:rPr>
          <w:rFonts w:ascii="Times New Roman" w:hAnsi="Times New Roman"/>
          <w:sz w:val="24"/>
          <w:lang w:val="sk-SK"/>
        </w:rPr>
        <w:t>Navýšenie grantu pre špeciálne potreby</w:t>
      </w:r>
    </w:p>
    <w:p w14:paraId="76B90E21" w14:textId="77777777" w:rsidR="00FE04FA" w:rsidRPr="00823E94" w:rsidRDefault="00FE04FA" w:rsidP="00D8230D">
      <w:pPr>
        <w:numPr>
          <w:ilvl w:val="0"/>
          <w:numId w:val="33"/>
        </w:numPr>
        <w:spacing w:after="120" w:line="240" w:lineRule="auto"/>
        <w:ind w:left="1843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Nakoľko nie je možné požiadať o grant na podporu na špeciálne potreby vo fáze podávania prihlášky v oblasti vysokoškolského vzdelávania, koordinátor môže požiadať o dodatočnú grantovú podporu po skončení výberu účastníkov. Táto podpora môže byť poskytnutá zo strany NA pre účastníkov, ktorých individuálny telesný, duševný alebo zdravotný stav nedovoľuje, aby jeho/jej účasť v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mobilitnej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aktivite bola možná bez dodatočnej finančnej podpory.</w:t>
      </w:r>
    </w:p>
    <w:p w14:paraId="345FF8C2" w14:textId="77777777" w:rsidR="00FE04FA" w:rsidRPr="00823E94" w:rsidRDefault="00FE04FA" w:rsidP="00D8230D">
      <w:pPr>
        <w:numPr>
          <w:ilvl w:val="0"/>
          <w:numId w:val="33"/>
        </w:numPr>
        <w:spacing w:after="120" w:line="240" w:lineRule="auto"/>
        <w:ind w:left="1843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Výška konečného grantu udeleného na medzinárodnú kreditovú mobilitu jednotlivcov môže vo výnimočných prípadoch presiahnuť žiadanú sumu a to v prípade, že dodatočné prostriedky sú žiadané ako podpora pre účastníkov so špeciálnymi potrebami.</w:t>
      </w:r>
    </w:p>
    <w:p w14:paraId="60D6EC30" w14:textId="7A8B53F2" w:rsidR="00FE04FA" w:rsidRPr="00823E94" w:rsidRDefault="00FE04FA" w:rsidP="00D8230D">
      <w:pPr>
        <w:numPr>
          <w:ilvl w:val="0"/>
          <w:numId w:val="34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lang w:val="sk-SK"/>
        </w:rPr>
      </w:pPr>
      <w:r w:rsidRPr="00823E94">
        <w:rPr>
          <w:rFonts w:ascii="Times New Roman" w:hAnsi="Times New Roman"/>
          <w:sz w:val="24"/>
          <w:lang w:val="sk-SK"/>
        </w:rPr>
        <w:t xml:space="preserve">Zmeny zmluvy </w:t>
      </w:r>
    </w:p>
    <w:p w14:paraId="302FD2BE" w14:textId="77777777" w:rsidR="00FE04FA" w:rsidRPr="00823E94" w:rsidRDefault="00FE04FA" w:rsidP="00D8230D">
      <w:pPr>
        <w:numPr>
          <w:ilvl w:val="0"/>
          <w:numId w:val="35"/>
        </w:numPr>
        <w:spacing w:after="120" w:line="240" w:lineRule="auto"/>
        <w:ind w:left="1843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V súlade s článkom II.13 Prílohy I zmluvy musia mať všetky úpravy grantu špecifikované v časti V písm. a) a b) formu dodatku ku zmluve.</w:t>
      </w:r>
    </w:p>
    <w:p w14:paraId="4AF50C75" w14:textId="77777777" w:rsidR="00D8230D" w:rsidRDefault="00D8230D" w:rsidP="00823E94">
      <w:pPr>
        <w:spacing w:after="120" w:line="240" w:lineRule="auto"/>
        <w:rPr>
          <w:rFonts w:ascii="Times New Roman" w:eastAsia="SimSun" w:hAnsi="Times New Roman"/>
          <w:b/>
          <w:kern w:val="1"/>
          <w:sz w:val="24"/>
          <w:szCs w:val="24"/>
          <w:lang w:val="sk-SK"/>
        </w:rPr>
      </w:pPr>
    </w:p>
    <w:p w14:paraId="35B48CAE" w14:textId="03E03244" w:rsidR="00FE04FA" w:rsidRPr="00823E94" w:rsidRDefault="00FE04FA" w:rsidP="00823E94">
      <w:pPr>
        <w:spacing w:after="120" w:line="240" w:lineRule="auto"/>
        <w:rPr>
          <w:rFonts w:ascii="Times New Roman" w:eastAsia="SimSun" w:hAnsi="Times New Roman"/>
          <w:b/>
          <w:kern w:val="1"/>
          <w:sz w:val="24"/>
          <w:szCs w:val="24"/>
          <w:lang w:val="sk-SK"/>
        </w:rPr>
      </w:pPr>
      <w:r w:rsidRPr="00823E94">
        <w:rPr>
          <w:rFonts w:ascii="Times New Roman" w:eastAsia="SimSun" w:hAnsi="Times New Roman"/>
          <w:b/>
          <w:kern w:val="1"/>
          <w:sz w:val="24"/>
          <w:szCs w:val="24"/>
          <w:lang w:val="sk-SK"/>
        </w:rPr>
        <w:t>VI. KONTROLY A USTANOVENIA O PODPORNÝCH DOKUMENTOCH</w:t>
      </w:r>
    </w:p>
    <w:p w14:paraId="6A85B7E4" w14:textId="77777777" w:rsidR="00B905C3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V súlade s článkom II.27 Prílohy I zmluvy, príjemca podlieha kontrolám a auditom vo vzťahu k zmluve vrátane prichádzajúcich aj odchádzajúcich mobilít. </w:t>
      </w:r>
    </w:p>
    <w:p w14:paraId="26EC8703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Cieľom kontrol a auditov je overiť, či príjemca spravoval grant s ohľadom na pravidlá stanovené v zmluve, za účelom stanovenia konečnej výšky grantu, na ktorý má príjemca nárok.</w:t>
      </w:r>
    </w:p>
    <w:p w14:paraId="5B04481E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Kontrola záverečnej správy sa musí vykonať u všetkých projektov. Okrem toho projekt môže byť predmetom hĺbkovej kontroly dokladov v priestoroch NA alebo kontroly na mieste </w:t>
      </w:r>
      <w:r w:rsidRPr="00823E94">
        <w:rPr>
          <w:rFonts w:ascii="Times New Roman" w:hAnsi="Times New Roman"/>
          <w:sz w:val="24"/>
          <w:szCs w:val="24"/>
          <w:lang w:val="sk-SK"/>
        </w:rPr>
        <w:lastRenderedPageBreak/>
        <w:t xml:space="preserve">v priestoroch príjemcu, ak je zmluva zahrnutá do vzorky NA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na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kontrolu požadovanú Európskou komisiou, alebo ak NA zahrnula zmluvu medzi cielené kontroly na základe zhodnotenia rizika.</w:t>
      </w:r>
    </w:p>
    <w:p w14:paraId="4E4F926C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Pre účely kontroly záverečnej správy a hĺbkovej kontroly je príjemca povinný poskytnúť NA kópie podporných dokumentov uvedených v článku I.2 okrem prípadov, keď NA vyžaduje poskytnutie originálov. Po ich posúdení je NA povinná vrátiť originály podporných dokumentov príjemcovi. V prípade, že príjemca nie je oprávnený zaslať originály dokumentov pre potreby záverečnej správy alebo hĺbkovej kontroly, príjemca je oprávnený zaslať namiesto nich kópie. </w:t>
      </w:r>
    </w:p>
    <w:p w14:paraId="5DB105CF" w14:textId="7B98998D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NA môže od príjemcov žiadať pre akýkoľvek typ kontroly taktiež dodatočné podporné dokumenty alebo doklady, ktoré sú zvyčajne vyžadované pre iný typ kontroly, ako je uvedené v</w:t>
      </w:r>
      <w:r w:rsidR="00823E94">
        <w:rPr>
          <w:rFonts w:ascii="Times New Roman" w:hAnsi="Times New Roman"/>
          <w:sz w:val="24"/>
          <w:szCs w:val="24"/>
          <w:lang w:val="sk-SK"/>
        </w:rPr>
        <w:t> </w:t>
      </w:r>
      <w:r w:rsidRPr="00823E94">
        <w:rPr>
          <w:rFonts w:ascii="Times New Roman" w:hAnsi="Times New Roman"/>
          <w:sz w:val="24"/>
          <w:szCs w:val="24"/>
          <w:lang w:val="sk-SK"/>
        </w:rPr>
        <w:t>článku II.27 všeobecných podmienok.</w:t>
      </w:r>
    </w:p>
    <w:p w14:paraId="64F396C5" w14:textId="77777777" w:rsidR="00187F65" w:rsidRDefault="00187F65" w:rsidP="00823E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6B38C876" w14:textId="548A9E9C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sz w:val="24"/>
          <w:szCs w:val="24"/>
          <w:lang w:val="sk-SK"/>
        </w:rPr>
        <w:t>Typy kontrol:</w:t>
      </w:r>
    </w:p>
    <w:p w14:paraId="7C6F5724" w14:textId="77777777" w:rsidR="00FE04FA" w:rsidRPr="00823E94" w:rsidRDefault="00FE04FA" w:rsidP="00D8230D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kern w:val="1"/>
          <w:sz w:val="24"/>
          <w:szCs w:val="24"/>
          <w:lang w:val="sk-SK"/>
        </w:rPr>
        <w:t>Kontrola záverečnej správy</w:t>
      </w:r>
    </w:p>
    <w:p w14:paraId="566EFF15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Kontrola záverečnej správy sa realizuje vo fáze záverečnej správy v priestoroch NA s cieľom stanoviť konečnú výšku grantu, na ktorý má príjemca nárok. </w:t>
      </w:r>
    </w:p>
    <w:p w14:paraId="7B3C9DF8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 xml:space="preserve">Príjemca je povinný predložiť NA záverečnú správu prostredníctvom Mobility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Tool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>+, ktorá bude obsahovať tieto informácie o grantových výdavkoch:</w:t>
      </w:r>
    </w:p>
    <w:p w14:paraId="5F852F06" w14:textId="77777777" w:rsidR="00FE04FA" w:rsidRPr="00823E94" w:rsidRDefault="00FE04FA" w:rsidP="00D8230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kern w:val="1"/>
          <w:sz w:val="24"/>
          <w:szCs w:val="24"/>
          <w:lang w:val="sk-SK"/>
        </w:rPr>
        <w:t>Jednotkové príspevky vynaložené v rozpočtových kategóriách:</w:t>
      </w:r>
    </w:p>
    <w:p w14:paraId="1369E3CE" w14:textId="77777777" w:rsidR="00FE04FA" w:rsidRPr="00823E94" w:rsidRDefault="00FE04FA" w:rsidP="00D8230D">
      <w:pPr>
        <w:pStyle w:val="ListParagraph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kern w:val="1"/>
          <w:sz w:val="24"/>
          <w:szCs w:val="24"/>
          <w:lang w:val="sk-SK"/>
        </w:rPr>
        <w:t>Cestovné náklady</w:t>
      </w:r>
    </w:p>
    <w:p w14:paraId="60551B85" w14:textId="77777777" w:rsidR="00FE04FA" w:rsidRPr="00823E94" w:rsidRDefault="00FE04FA" w:rsidP="00D8230D">
      <w:pPr>
        <w:pStyle w:val="ListParagraph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kern w:val="1"/>
          <w:sz w:val="24"/>
          <w:szCs w:val="24"/>
          <w:lang w:val="sk-SK"/>
        </w:rPr>
        <w:t>Individuálna podpora</w:t>
      </w:r>
    </w:p>
    <w:p w14:paraId="3C0D944F" w14:textId="77777777" w:rsidR="00FE04FA" w:rsidRPr="00823E94" w:rsidRDefault="00FE04FA" w:rsidP="00D8230D">
      <w:pPr>
        <w:pStyle w:val="ListParagraph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kern w:val="1"/>
          <w:sz w:val="24"/>
          <w:szCs w:val="24"/>
          <w:lang w:val="sk-SK"/>
        </w:rPr>
        <w:t xml:space="preserve">Organizačná podpora </w:t>
      </w:r>
    </w:p>
    <w:p w14:paraId="357D0B70" w14:textId="77777777" w:rsidR="00FE04FA" w:rsidRPr="00823E94" w:rsidRDefault="00FE04FA" w:rsidP="00D8230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kern w:val="1"/>
          <w:sz w:val="24"/>
          <w:szCs w:val="24"/>
          <w:lang w:val="sk-SK"/>
        </w:rPr>
        <w:t>Skutočne vynaložené náklady pre rozpočtovú kategóriu:</w:t>
      </w:r>
    </w:p>
    <w:p w14:paraId="192C87C1" w14:textId="77777777" w:rsidR="00FE04FA" w:rsidRPr="00823E94" w:rsidRDefault="00FE04FA" w:rsidP="00D8230D">
      <w:pPr>
        <w:pStyle w:val="ListParagraph"/>
        <w:numPr>
          <w:ilvl w:val="1"/>
          <w:numId w:val="21"/>
        </w:numPr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kern w:val="1"/>
          <w:sz w:val="24"/>
          <w:szCs w:val="24"/>
          <w:lang w:val="sk-SK"/>
        </w:rPr>
        <w:t>Podpora na špeciálne potreby</w:t>
      </w:r>
    </w:p>
    <w:p w14:paraId="5C60B634" w14:textId="77777777" w:rsidR="00FE04FA" w:rsidRPr="00823E94" w:rsidRDefault="00FE04FA" w:rsidP="00D8230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kern w:val="1"/>
          <w:sz w:val="24"/>
          <w:szCs w:val="24"/>
          <w:lang w:val="sk-SK"/>
        </w:rPr>
        <w:t>Skutočne vynaložené náklady a podporné dokumenty špecifikované v časti II tejto prílohy pre rozpočtovú kategóriu:</w:t>
      </w:r>
    </w:p>
    <w:p w14:paraId="053AC07C" w14:textId="77777777" w:rsidR="00FE04FA" w:rsidRPr="00823E94" w:rsidRDefault="00FE04FA" w:rsidP="00D8230D">
      <w:pPr>
        <w:pStyle w:val="ListParagraph"/>
        <w:numPr>
          <w:ilvl w:val="1"/>
          <w:numId w:val="22"/>
        </w:numPr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kern w:val="1"/>
          <w:sz w:val="24"/>
          <w:szCs w:val="24"/>
          <w:lang w:val="sk-SK"/>
        </w:rPr>
        <w:t>Mimoriadne náklady</w:t>
      </w:r>
    </w:p>
    <w:p w14:paraId="39F7157C" w14:textId="77777777" w:rsidR="00FE04FA" w:rsidRPr="00823E94" w:rsidRDefault="00FE04FA" w:rsidP="00D8230D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kern w:val="1"/>
          <w:sz w:val="24"/>
          <w:szCs w:val="24"/>
          <w:lang w:val="sk-SK"/>
        </w:rPr>
        <w:t xml:space="preserve">Hĺbková kontrola </w:t>
      </w:r>
    </w:p>
    <w:p w14:paraId="570017FA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Hĺbková kontrola predstavuje kontrolu podporných dokumentov v priestoroch NA, ktorá môže byť vykonaná počas alebo po skončení kontroly záverečnej správy.</w:t>
      </w:r>
    </w:p>
    <w:p w14:paraId="39A4BB2C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Príjemca je povinný na požiadanie NA predložiť podporné dokumenty pre všetky rozpočtové kategórie.</w:t>
      </w:r>
    </w:p>
    <w:p w14:paraId="7FAD494B" w14:textId="77777777" w:rsidR="00FE04FA" w:rsidRPr="00823E94" w:rsidRDefault="00FE04FA" w:rsidP="00D8230D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val="sk-SK"/>
        </w:rPr>
      </w:pPr>
      <w:r w:rsidRPr="00823E94">
        <w:rPr>
          <w:rFonts w:ascii="Times New Roman" w:hAnsi="Times New Roman"/>
          <w:b/>
          <w:kern w:val="1"/>
          <w:sz w:val="24"/>
          <w:szCs w:val="24"/>
          <w:lang w:val="sk-SK"/>
        </w:rPr>
        <w:t>Kontrola na mieste</w:t>
      </w:r>
    </w:p>
    <w:p w14:paraId="35E1B8EF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Kontrolu na mieste realizuje NA v priestoroch príjemcu alebo iných priestoroch relevantných pre realizáciu projektu. Počas kontrol na mieste je príjemca povinný sprístupniť NA originály podporných dokumentov pre všetky rozpočtové kategórie.</w:t>
      </w:r>
    </w:p>
    <w:p w14:paraId="4D04908C" w14:textId="77777777" w:rsidR="00187F65" w:rsidRDefault="00187F65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F8077E0" w14:textId="678DFBDF" w:rsidR="00FE04FA" w:rsidRPr="00823E94" w:rsidRDefault="00FE04FA" w:rsidP="00823E9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lastRenderedPageBreak/>
        <w:t>Typy možných kontrol na mieste:</w:t>
      </w:r>
    </w:p>
    <w:p w14:paraId="6E83980D" w14:textId="77777777" w:rsidR="00FE04FA" w:rsidRPr="00823E94" w:rsidRDefault="00FE04FA" w:rsidP="00D8230D">
      <w:pPr>
        <w:numPr>
          <w:ilvl w:val="0"/>
          <w:numId w:val="11"/>
        </w:numPr>
        <w:spacing w:after="120" w:line="240" w:lineRule="auto"/>
        <w:ind w:left="426" w:hanging="284"/>
        <w:jc w:val="both"/>
        <w:rPr>
          <w:rFonts w:ascii="Times New Roman" w:eastAsia="SimSun" w:hAnsi="Times New Roman"/>
          <w:b/>
          <w:kern w:val="1"/>
          <w:sz w:val="24"/>
          <w:szCs w:val="24"/>
          <w:lang w:val="sk-SK"/>
        </w:rPr>
      </w:pPr>
      <w:r w:rsidRPr="00823E94">
        <w:rPr>
          <w:rFonts w:ascii="Times New Roman" w:eastAsia="SimSun" w:hAnsi="Times New Roman"/>
          <w:b/>
          <w:kern w:val="1"/>
          <w:sz w:val="24"/>
          <w:szCs w:val="24"/>
          <w:lang w:val="sk-SK"/>
        </w:rPr>
        <w:t>Kontrola na mi</w:t>
      </w:r>
      <w:r w:rsidR="00816C76" w:rsidRPr="00823E94">
        <w:rPr>
          <w:rFonts w:ascii="Times New Roman" w:eastAsia="SimSun" w:hAnsi="Times New Roman"/>
          <w:b/>
          <w:kern w:val="1"/>
          <w:sz w:val="24"/>
          <w:szCs w:val="24"/>
          <w:lang w:val="sk-SK"/>
        </w:rPr>
        <w:t>este počas realizácie projektu</w:t>
      </w:r>
    </w:p>
    <w:p w14:paraId="496D1618" w14:textId="77777777" w:rsidR="00FE04FA" w:rsidRPr="00823E94" w:rsidRDefault="00FE04FA" w:rsidP="00823E94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Kontrolu vykonáva NA počas realizácie projektu za účelom zistenia skutočného stavu a oprávnenosti všetkých pr</w:t>
      </w:r>
      <w:r w:rsidR="00816C76" w:rsidRPr="00823E94">
        <w:rPr>
          <w:rFonts w:ascii="Times New Roman" w:hAnsi="Times New Roman"/>
          <w:sz w:val="24"/>
          <w:szCs w:val="24"/>
          <w:lang w:val="sk-SK"/>
        </w:rPr>
        <w:t xml:space="preserve">ojektových aktivít a účastníkov </w:t>
      </w:r>
      <w:r w:rsidRPr="00823E94">
        <w:rPr>
          <w:rFonts w:ascii="Times New Roman" w:hAnsi="Times New Roman"/>
          <w:sz w:val="24"/>
          <w:szCs w:val="24"/>
          <w:lang w:val="sk-SK"/>
        </w:rPr>
        <w:t xml:space="preserve">a aby sa zistil súlad so záväzkami, ku ktorým sa príjemca zaviazal a ktoré sú súčasťou </w:t>
      </w:r>
      <w:proofErr w:type="spellStart"/>
      <w:r w:rsidRPr="00823E94">
        <w:rPr>
          <w:rFonts w:ascii="Times New Roman" w:hAnsi="Times New Roman"/>
          <w:sz w:val="24"/>
          <w:szCs w:val="24"/>
          <w:lang w:val="sk-SK"/>
        </w:rPr>
        <w:t>medziinštitucionálnych</w:t>
      </w:r>
      <w:proofErr w:type="spellEnd"/>
      <w:r w:rsidRPr="00823E94">
        <w:rPr>
          <w:rFonts w:ascii="Times New Roman" w:hAnsi="Times New Roman"/>
          <w:sz w:val="24"/>
          <w:szCs w:val="24"/>
          <w:lang w:val="sk-SK"/>
        </w:rPr>
        <w:t xml:space="preserve"> zmlúv.</w:t>
      </w:r>
    </w:p>
    <w:p w14:paraId="78F57BCB" w14:textId="77777777" w:rsidR="00FE04FA" w:rsidRPr="00823E94" w:rsidRDefault="00FE04FA" w:rsidP="00D8230D">
      <w:pPr>
        <w:numPr>
          <w:ilvl w:val="0"/>
          <w:numId w:val="11"/>
        </w:numPr>
        <w:spacing w:after="120" w:line="240" w:lineRule="auto"/>
        <w:ind w:left="426" w:hanging="284"/>
        <w:jc w:val="both"/>
        <w:rPr>
          <w:rFonts w:ascii="Times New Roman" w:eastAsia="SimSun" w:hAnsi="Times New Roman"/>
          <w:b/>
          <w:kern w:val="1"/>
          <w:sz w:val="24"/>
          <w:szCs w:val="24"/>
          <w:lang w:val="sk-SK"/>
        </w:rPr>
      </w:pPr>
      <w:r w:rsidRPr="00823E94">
        <w:rPr>
          <w:rFonts w:ascii="Times New Roman" w:eastAsia="SimSun" w:hAnsi="Times New Roman"/>
          <w:b/>
          <w:kern w:val="1"/>
          <w:sz w:val="24"/>
          <w:szCs w:val="24"/>
          <w:lang w:val="sk-SK"/>
        </w:rPr>
        <w:t>Kontrola na mieste po ukončení projektu</w:t>
      </w:r>
    </w:p>
    <w:p w14:paraId="7C9B1C38" w14:textId="77777777" w:rsidR="00FE04FA" w:rsidRPr="00823E94" w:rsidRDefault="00FE04FA" w:rsidP="00823E94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823E94">
        <w:rPr>
          <w:rFonts w:ascii="Times New Roman" w:hAnsi="Times New Roman"/>
          <w:sz w:val="24"/>
          <w:szCs w:val="24"/>
          <w:lang w:val="sk-SK"/>
        </w:rPr>
        <w:t>Kontrola sa realizuje po skončení projektu a zvyčajne po skončení kontroly záverečnej správy.</w:t>
      </w:r>
    </w:p>
    <w:p w14:paraId="65968BC0" w14:textId="77777777" w:rsidR="00FE04FA" w:rsidRPr="00823E94" w:rsidRDefault="00FE04FA" w:rsidP="00823E94">
      <w:pPr>
        <w:spacing w:after="12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eastAsia="SimSun" w:hAnsi="Times New Roman"/>
          <w:kern w:val="1"/>
          <w:sz w:val="24"/>
          <w:szCs w:val="24"/>
          <w:lang w:val="sk-SK"/>
        </w:rPr>
        <w:t>Okrem poskytnutia všetkých podporných dokumentov je príjemca povinný sprístupniť NA záznamy o výdavkoch projektu v účtovných záznamoch príjemcu.</w:t>
      </w:r>
    </w:p>
    <w:p w14:paraId="5B7C24E2" w14:textId="77777777" w:rsidR="00FE04FA" w:rsidRPr="00823E94" w:rsidRDefault="00FE04FA" w:rsidP="00D8230D">
      <w:pPr>
        <w:numPr>
          <w:ilvl w:val="0"/>
          <w:numId w:val="11"/>
        </w:numPr>
        <w:spacing w:after="120" w:line="240" w:lineRule="auto"/>
        <w:ind w:left="426" w:hanging="284"/>
        <w:jc w:val="both"/>
        <w:rPr>
          <w:rFonts w:ascii="Times New Roman" w:eastAsia="SimSun" w:hAnsi="Times New Roman"/>
          <w:b/>
          <w:kern w:val="1"/>
          <w:sz w:val="24"/>
          <w:szCs w:val="24"/>
          <w:lang w:val="sk-SK"/>
        </w:rPr>
      </w:pPr>
      <w:r w:rsidRPr="00823E94">
        <w:rPr>
          <w:rFonts w:ascii="Times New Roman" w:eastAsia="SimSun" w:hAnsi="Times New Roman"/>
          <w:b/>
          <w:kern w:val="1"/>
          <w:sz w:val="24"/>
          <w:szCs w:val="24"/>
          <w:lang w:val="sk-SK"/>
        </w:rPr>
        <w:t>Systémová kontrola</w:t>
      </w:r>
    </w:p>
    <w:p w14:paraId="449FCDAA" w14:textId="2DFB74CF" w:rsidR="00816C76" w:rsidRPr="00823E94" w:rsidRDefault="00FE04FA" w:rsidP="00823E94">
      <w:pPr>
        <w:spacing w:after="120" w:line="240" w:lineRule="auto"/>
        <w:ind w:left="426"/>
        <w:jc w:val="both"/>
        <w:rPr>
          <w:rFonts w:ascii="Times New Roman" w:eastAsia="SimSu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eastAsia="SimSun" w:hAnsi="Times New Roman"/>
          <w:kern w:val="1"/>
          <w:sz w:val="24"/>
          <w:szCs w:val="24"/>
          <w:lang w:val="sk-SK"/>
        </w:rPr>
        <w:t>Systémová kontrola príjemcu sa vykonáva z dôvodu, aby sa zabezpečil súlad so záväzkami, ku ktorým sa príjemca zaviazal a ktoré sú výsledkom Erasmus charty pre VŠ vzdelávanie</w:t>
      </w:r>
      <w:r w:rsidRPr="00823E94" w:rsidDel="007A62BE">
        <w:rPr>
          <w:rFonts w:ascii="Times New Roman" w:eastAsia="SimSun" w:hAnsi="Times New Roman"/>
          <w:kern w:val="1"/>
          <w:sz w:val="24"/>
          <w:szCs w:val="24"/>
          <w:lang w:val="sk-SK"/>
        </w:rPr>
        <w:t xml:space="preserve"> </w:t>
      </w:r>
      <w:r w:rsidRPr="00823E94">
        <w:rPr>
          <w:rFonts w:ascii="Times New Roman" w:eastAsia="SimSun" w:hAnsi="Times New Roman"/>
          <w:kern w:val="1"/>
          <w:sz w:val="24"/>
          <w:szCs w:val="24"/>
          <w:lang w:val="sk-SK"/>
        </w:rPr>
        <w:t>a</w:t>
      </w:r>
      <w:r w:rsidR="00823E94">
        <w:rPr>
          <w:rFonts w:ascii="Times New Roman" w:eastAsia="SimSun" w:hAnsi="Times New Roman"/>
          <w:kern w:val="1"/>
          <w:sz w:val="24"/>
          <w:szCs w:val="24"/>
          <w:lang w:val="sk-SK"/>
        </w:rPr>
        <w:t> </w:t>
      </w:r>
      <w:proofErr w:type="spellStart"/>
      <w:r w:rsidRPr="00823E94">
        <w:rPr>
          <w:rFonts w:ascii="Times New Roman" w:eastAsia="SimSun" w:hAnsi="Times New Roman"/>
          <w:kern w:val="1"/>
          <w:sz w:val="24"/>
          <w:szCs w:val="24"/>
          <w:lang w:val="sk-SK"/>
        </w:rPr>
        <w:t>medziinštitucionálnych</w:t>
      </w:r>
      <w:proofErr w:type="spellEnd"/>
      <w:r w:rsidRPr="00823E94">
        <w:rPr>
          <w:rFonts w:ascii="Times New Roman" w:eastAsia="SimSun" w:hAnsi="Times New Roman"/>
          <w:kern w:val="1"/>
          <w:sz w:val="24"/>
          <w:szCs w:val="24"/>
          <w:lang w:val="sk-SK"/>
        </w:rPr>
        <w:t xml:space="preserve"> zmlúv. </w:t>
      </w:r>
    </w:p>
    <w:p w14:paraId="41A1CB40" w14:textId="77777777" w:rsidR="00FE04FA" w:rsidRPr="00823E94" w:rsidRDefault="00FE04FA" w:rsidP="00823E94">
      <w:pPr>
        <w:spacing w:after="120" w:line="240" w:lineRule="auto"/>
        <w:ind w:left="426"/>
        <w:jc w:val="both"/>
        <w:rPr>
          <w:rFonts w:ascii="Times New Roman" w:eastAsia="SimSun" w:hAnsi="Times New Roman"/>
          <w:kern w:val="1"/>
          <w:sz w:val="24"/>
          <w:szCs w:val="24"/>
          <w:lang w:val="sk-SK"/>
        </w:rPr>
      </w:pPr>
      <w:r w:rsidRPr="00823E94">
        <w:rPr>
          <w:rFonts w:ascii="Times New Roman" w:eastAsia="SimSun" w:hAnsi="Times New Roman"/>
          <w:kern w:val="1"/>
          <w:sz w:val="24"/>
          <w:szCs w:val="24"/>
          <w:lang w:val="sk-SK"/>
        </w:rPr>
        <w:t>Príjemca je povinný umožniť národnej agentúre overiť skutočný stav a oprávnenosť všetkých projektových aktivít a účastníkov.</w:t>
      </w:r>
    </w:p>
    <w:p w14:paraId="76FF1D94" w14:textId="77777777" w:rsidR="0076096E" w:rsidRPr="00823E94" w:rsidRDefault="0076096E" w:rsidP="00823E94">
      <w:pPr>
        <w:tabs>
          <w:tab w:val="left" w:pos="851"/>
        </w:tabs>
        <w:spacing w:after="12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sk-SK"/>
        </w:rPr>
      </w:pPr>
    </w:p>
    <w:p w14:paraId="59922021" w14:textId="77777777" w:rsidR="00823E94" w:rsidRPr="00823E94" w:rsidRDefault="00823E94">
      <w:pPr>
        <w:tabs>
          <w:tab w:val="left" w:pos="851"/>
        </w:tabs>
        <w:spacing w:after="12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sk-SK"/>
        </w:rPr>
      </w:pPr>
    </w:p>
    <w:sectPr w:rsidR="00823E94" w:rsidRPr="00823E94" w:rsidSect="00FA1BE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626F" w14:textId="77777777" w:rsidR="004962F6" w:rsidRDefault="004962F6">
      <w:pPr>
        <w:spacing w:after="0" w:line="240" w:lineRule="auto"/>
      </w:pPr>
      <w:r>
        <w:separator/>
      </w:r>
    </w:p>
  </w:endnote>
  <w:endnote w:type="continuationSeparator" w:id="0">
    <w:p w14:paraId="1C0C85AB" w14:textId="77777777" w:rsidR="004962F6" w:rsidRDefault="004962F6">
      <w:pPr>
        <w:spacing w:after="0" w:line="240" w:lineRule="auto"/>
      </w:pPr>
      <w:r>
        <w:continuationSeparator/>
      </w:r>
    </w:p>
  </w:endnote>
  <w:endnote w:type="continuationNotice" w:id="1">
    <w:p w14:paraId="26DA7998" w14:textId="77777777" w:rsidR="004962F6" w:rsidRDefault="00496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8CBB9" w14:textId="77777777" w:rsidR="004962F6" w:rsidRPr="00B463C7" w:rsidRDefault="004962F6">
    <w:pPr>
      <w:pStyle w:val="Footer"/>
      <w:jc w:val="right"/>
      <w:rPr>
        <w:rFonts w:ascii="Times New Roman" w:hAnsi="Times New Roman"/>
      </w:rPr>
    </w:pPr>
    <w:r w:rsidRPr="00B463C7">
      <w:rPr>
        <w:rFonts w:ascii="Times New Roman" w:hAnsi="Times New Roman"/>
      </w:rPr>
      <w:fldChar w:fldCharType="begin"/>
    </w:r>
    <w:r w:rsidRPr="00B463C7">
      <w:rPr>
        <w:rFonts w:ascii="Times New Roman" w:hAnsi="Times New Roman"/>
      </w:rPr>
      <w:instrText xml:space="preserve"> PAGE   \* MERGEFORMAT </w:instrText>
    </w:r>
    <w:r w:rsidRPr="00B463C7">
      <w:rPr>
        <w:rFonts w:ascii="Times New Roman" w:hAnsi="Times New Roman"/>
      </w:rPr>
      <w:fldChar w:fldCharType="separate"/>
    </w:r>
    <w:r w:rsidR="00816C76">
      <w:rPr>
        <w:rFonts w:ascii="Times New Roman" w:hAnsi="Times New Roman"/>
        <w:noProof/>
      </w:rPr>
      <w:t>1</w:t>
    </w:r>
    <w:r w:rsidRPr="00B463C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C5667" w14:textId="77777777" w:rsidR="004962F6" w:rsidRDefault="004962F6">
      <w:pPr>
        <w:spacing w:after="0" w:line="240" w:lineRule="auto"/>
      </w:pPr>
      <w:r>
        <w:separator/>
      </w:r>
    </w:p>
  </w:footnote>
  <w:footnote w:type="continuationSeparator" w:id="0">
    <w:p w14:paraId="2730EC29" w14:textId="77777777" w:rsidR="004962F6" w:rsidRDefault="004962F6">
      <w:pPr>
        <w:spacing w:after="0" w:line="240" w:lineRule="auto"/>
      </w:pPr>
      <w:r>
        <w:continuationSeparator/>
      </w:r>
    </w:p>
  </w:footnote>
  <w:footnote w:type="continuationNotice" w:id="1">
    <w:p w14:paraId="37D08DD8" w14:textId="77777777" w:rsidR="004962F6" w:rsidRDefault="00496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A0A7" w14:textId="77777777" w:rsidR="00FA1BEC" w:rsidRPr="009B6697" w:rsidRDefault="00FA1BEC" w:rsidP="00FA1BEC">
    <w:pPr>
      <w:pStyle w:val="Header"/>
      <w:tabs>
        <w:tab w:val="clear" w:pos="4536"/>
        <w:tab w:val="clear" w:pos="9072"/>
      </w:tabs>
      <w:spacing w:after="0"/>
      <w:rPr>
        <w:rFonts w:ascii="Times New Roman" w:hAnsi="Times New Roman"/>
        <w:sz w:val="18"/>
        <w:szCs w:val="18"/>
        <w:lang w:val="sk-SK"/>
      </w:rPr>
    </w:pPr>
    <w:r w:rsidRPr="009B6697">
      <w:rPr>
        <w:rFonts w:ascii="Times New Roman" w:hAnsi="Times New Roman"/>
        <w:sz w:val="18"/>
        <w:szCs w:val="18"/>
        <w:lang w:val="sk-SK"/>
      </w:rPr>
      <w:t xml:space="preserve">Príloha III – Finančné a zmluvné pravidlá  </w:t>
    </w:r>
    <w:r w:rsidRPr="009B6697">
      <w:rPr>
        <w:rFonts w:ascii="Times New Roman" w:hAnsi="Times New Roman"/>
        <w:sz w:val="18"/>
        <w:szCs w:val="18"/>
        <w:lang w:val="sk-SK"/>
      </w:rPr>
      <w:tab/>
    </w:r>
    <w:r w:rsidRPr="009B6697">
      <w:rPr>
        <w:rFonts w:ascii="Times New Roman" w:hAnsi="Times New Roman"/>
        <w:sz w:val="18"/>
        <w:szCs w:val="18"/>
        <w:lang w:val="sk-SK"/>
      </w:rPr>
      <w:tab/>
    </w:r>
    <w:r>
      <w:rPr>
        <w:rFonts w:ascii="Times New Roman" w:hAnsi="Times New Roman"/>
        <w:sz w:val="18"/>
        <w:szCs w:val="18"/>
        <w:lang w:val="sk-SK"/>
      </w:rPr>
      <w:tab/>
    </w:r>
    <w:r>
      <w:rPr>
        <w:rFonts w:ascii="Times New Roman" w:hAnsi="Times New Roman"/>
        <w:sz w:val="18"/>
        <w:szCs w:val="18"/>
        <w:lang w:val="sk-SK"/>
      </w:rPr>
      <w:tab/>
    </w:r>
    <w:r>
      <w:rPr>
        <w:rFonts w:ascii="Times New Roman" w:hAnsi="Times New Roman"/>
        <w:sz w:val="18"/>
        <w:szCs w:val="18"/>
        <w:lang w:val="sk-SK"/>
      </w:rPr>
      <w:tab/>
    </w:r>
    <w:r>
      <w:rPr>
        <w:rFonts w:ascii="Times New Roman" w:hAnsi="Times New Roman"/>
        <w:sz w:val="18"/>
        <w:szCs w:val="18"/>
        <w:lang w:val="sk-SK"/>
      </w:rPr>
      <w:tab/>
    </w:r>
    <w:r>
      <w:rPr>
        <w:rFonts w:ascii="Times New Roman" w:hAnsi="Times New Roman"/>
        <w:sz w:val="18"/>
        <w:szCs w:val="18"/>
        <w:lang w:val="sk-SK"/>
      </w:rPr>
      <w:tab/>
      <w:t xml:space="preserve">          </w:t>
    </w:r>
    <w:r w:rsidRPr="009B6697">
      <w:rPr>
        <w:rFonts w:ascii="Times New Roman" w:hAnsi="Times New Roman"/>
        <w:sz w:val="18"/>
        <w:szCs w:val="18"/>
        <w:lang w:val="sk-SK"/>
      </w:rPr>
      <w:t>Verzia: 201</w:t>
    </w:r>
    <w:r>
      <w:rPr>
        <w:rFonts w:ascii="Times New Roman" w:hAnsi="Times New Roman"/>
        <w:sz w:val="18"/>
        <w:szCs w:val="18"/>
        <w:lang w:val="sk-SK"/>
      </w:rPr>
      <w:t>9</w:t>
    </w:r>
  </w:p>
  <w:p w14:paraId="185B0588" w14:textId="77777777" w:rsidR="00FA1BEC" w:rsidRDefault="00FA1BEC" w:rsidP="00FA1BEC">
    <w:pPr>
      <w:pStyle w:val="Header"/>
      <w:spacing w:after="0"/>
      <w:rPr>
        <w:rFonts w:ascii="Times New Roman" w:hAnsi="Times New Roman"/>
        <w:sz w:val="18"/>
        <w:szCs w:val="18"/>
        <w:lang w:val="sk-SK"/>
      </w:rPr>
    </w:pPr>
    <w:r w:rsidRPr="009B6697">
      <w:rPr>
        <w:rFonts w:ascii="Times New Roman" w:hAnsi="Times New Roman"/>
        <w:sz w:val="18"/>
        <w:szCs w:val="18"/>
        <w:lang w:val="sk-SK"/>
      </w:rPr>
      <w:t>KA107 - Vysokoškolské vzdelávanie - Mobility medzi krajinami programu a partnerskými krajinami</w:t>
    </w:r>
  </w:p>
  <w:p w14:paraId="76EFE43B" w14:textId="77777777" w:rsidR="004962F6" w:rsidRPr="00FA1BEC" w:rsidRDefault="004962F6" w:rsidP="00FA1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1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0"/>
    <w:lvl w:ilvl="0">
      <w:start w:val="1"/>
      <w:numFmt w:val="lowerRoman"/>
      <w:lvlText w:val="(%1)"/>
      <w:lvlJc w:val="left"/>
      <w:pPr>
        <w:tabs>
          <w:tab w:val="num" w:pos="0"/>
        </w:tabs>
        <w:ind w:left="27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2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40" w:hanging="180"/>
      </w:pPr>
    </w:lvl>
  </w:abstractNum>
  <w:abstractNum w:abstractNumId="21" w15:restartNumberingAfterBreak="0">
    <w:nsid w:val="00000016"/>
    <w:multiLevelType w:val="multilevel"/>
    <w:tmpl w:val="00000016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2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Num2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1B"/>
    <w:name w:val="WWNum2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multilevel"/>
    <w:tmpl w:val="0000001E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multilevel"/>
    <w:tmpl w:val="0000001F"/>
    <w:name w:val="WWNum3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8"/>
    <w:multiLevelType w:val="multilevel"/>
    <w:tmpl w:val="00000038"/>
    <w:name w:val="WWNum5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60" w15:restartNumberingAfterBreak="0">
    <w:nsid w:val="0000003E"/>
    <w:multiLevelType w:val="multilevel"/>
    <w:tmpl w:val="0000003E"/>
    <w:name w:val="WWNum61"/>
    <w:lvl w:ilvl="0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000" w:hanging="360"/>
      </w:pPr>
      <w:rPr>
        <w:rFonts w:ascii="Wingdings" w:hAnsi="Wingdings"/>
      </w:rPr>
    </w:lvl>
  </w:abstractNum>
  <w:abstractNum w:abstractNumId="61" w15:restartNumberingAfterBreak="0">
    <w:nsid w:val="0000003F"/>
    <w:multiLevelType w:val="multilevel"/>
    <w:tmpl w:val="0000003F"/>
    <w:name w:val="WWNum6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62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63" w15:restartNumberingAfterBreak="0">
    <w:nsid w:val="00000041"/>
    <w:multiLevelType w:val="multilevel"/>
    <w:tmpl w:val="00000041"/>
    <w:name w:val="WWNum64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71" w:hanging="180"/>
      </w:pPr>
    </w:lvl>
  </w:abstractNum>
  <w:abstractNum w:abstractNumId="64" w15:restartNumberingAfterBreak="0">
    <w:nsid w:val="00000042"/>
    <w:multiLevelType w:val="multilevel"/>
    <w:tmpl w:val="00000042"/>
    <w:name w:val="WWNum6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Num6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6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67" w15:restartNumberingAfterBreak="0">
    <w:nsid w:val="00000045"/>
    <w:multiLevelType w:val="multilevel"/>
    <w:tmpl w:val="00000045"/>
    <w:name w:val="WWNum68"/>
    <w:lvl w:ilvl="0">
      <w:start w:val="1"/>
      <w:numFmt w:val="bullet"/>
      <w:lvlText w:val=""/>
      <w:lvlJc w:val="left"/>
      <w:pPr>
        <w:tabs>
          <w:tab w:val="num" w:pos="0"/>
        </w:tabs>
        <w:ind w:left="15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68" w15:restartNumberingAfterBreak="0">
    <w:nsid w:val="00000046"/>
    <w:multiLevelType w:val="multilevel"/>
    <w:tmpl w:val="00000046"/>
    <w:name w:val="WWNum6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00000047"/>
    <w:multiLevelType w:val="multilevel"/>
    <w:tmpl w:val="00000047"/>
    <w:name w:val="WWNum70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00000048"/>
    <w:multiLevelType w:val="multilevel"/>
    <w:tmpl w:val="00000048"/>
    <w:name w:val="WWNum7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00000049"/>
    <w:multiLevelType w:val="multilevel"/>
    <w:tmpl w:val="00000049"/>
    <w:name w:val="WWNum7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0000004A"/>
    <w:multiLevelType w:val="multilevel"/>
    <w:tmpl w:val="0000004A"/>
    <w:name w:val="WWNum7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0000004B"/>
    <w:multiLevelType w:val="multilevel"/>
    <w:tmpl w:val="0000004B"/>
    <w:name w:val="WWNum7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Num7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76" w15:restartNumberingAfterBreak="0">
    <w:nsid w:val="00000058"/>
    <w:multiLevelType w:val="multilevel"/>
    <w:tmpl w:val="00000058"/>
    <w:name w:val="WWNum8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03691240"/>
    <w:multiLevelType w:val="hybridMultilevel"/>
    <w:tmpl w:val="B5EE1832"/>
    <w:lvl w:ilvl="0" w:tplc="8CD075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000" w:hanging="360"/>
      </w:pPr>
      <w:rPr>
        <w:rFonts w:ascii="Wingdings" w:hAnsi="Wingdings"/>
      </w:rPr>
    </w:lvl>
  </w:abstractNum>
  <w:abstractNum w:abstractNumId="79" w15:restartNumberingAfterBreak="0">
    <w:nsid w:val="0CFC4AB0"/>
    <w:multiLevelType w:val="hybridMultilevel"/>
    <w:tmpl w:val="E9366014"/>
    <w:lvl w:ilvl="0" w:tplc="8CD075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EAC7C14"/>
    <w:multiLevelType w:val="hybridMultilevel"/>
    <w:tmpl w:val="FF8E99F2"/>
    <w:lvl w:ilvl="0" w:tplc="788627F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10CE5AE2"/>
    <w:multiLevelType w:val="multilevel"/>
    <w:tmpl w:val="927E7E2E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11243E0F"/>
    <w:multiLevelType w:val="multilevel"/>
    <w:tmpl w:val="16B68B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3" w15:restartNumberingAfterBreak="0">
    <w:nsid w:val="18040839"/>
    <w:multiLevelType w:val="hybridMultilevel"/>
    <w:tmpl w:val="3754E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A9407B"/>
    <w:multiLevelType w:val="hybridMultilevel"/>
    <w:tmpl w:val="D8B4F7C6"/>
    <w:lvl w:ilvl="0" w:tplc="8CD075CC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193543BE"/>
    <w:multiLevelType w:val="multilevel"/>
    <w:tmpl w:val="273C9B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1A7E03F3"/>
    <w:multiLevelType w:val="hybridMultilevel"/>
    <w:tmpl w:val="FEF6D9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190FB2"/>
    <w:multiLevelType w:val="hybridMultilevel"/>
    <w:tmpl w:val="948C459C"/>
    <w:lvl w:ilvl="0" w:tplc="ECC85C8E">
      <w:start w:val="3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327468D"/>
    <w:multiLevelType w:val="multilevel"/>
    <w:tmpl w:val="B636C3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9" w15:restartNumberingAfterBreak="0">
    <w:nsid w:val="23C165F4"/>
    <w:multiLevelType w:val="multilevel"/>
    <w:tmpl w:val="3182D840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0" w15:restartNumberingAfterBreak="0">
    <w:nsid w:val="24BD1B28"/>
    <w:multiLevelType w:val="hybridMultilevel"/>
    <w:tmpl w:val="0E38E882"/>
    <w:lvl w:ilvl="0" w:tplc="B2BEBB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8521B96"/>
    <w:multiLevelType w:val="multilevel"/>
    <w:tmpl w:val="FC3C5780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2" w15:restartNumberingAfterBreak="0">
    <w:nsid w:val="2D3D44B4"/>
    <w:multiLevelType w:val="hybridMultilevel"/>
    <w:tmpl w:val="FE08012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3" w15:restartNumberingAfterBreak="0">
    <w:nsid w:val="383F1A30"/>
    <w:multiLevelType w:val="multilevel"/>
    <w:tmpl w:val="D5B2A334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4" w15:restartNumberingAfterBreak="0">
    <w:nsid w:val="3BBE266E"/>
    <w:multiLevelType w:val="multilevel"/>
    <w:tmpl w:val="EA2C1F2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5" w15:restartNumberingAfterBreak="0">
    <w:nsid w:val="43E8697C"/>
    <w:multiLevelType w:val="hybridMultilevel"/>
    <w:tmpl w:val="F20C6FDA"/>
    <w:lvl w:ilvl="0" w:tplc="B2BEBB5A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6" w15:restartNumberingAfterBreak="0">
    <w:nsid w:val="50576CCC"/>
    <w:multiLevelType w:val="multilevel"/>
    <w:tmpl w:val="497694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7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71" w:hanging="180"/>
      </w:pPr>
    </w:lvl>
  </w:abstractNum>
  <w:abstractNum w:abstractNumId="98" w15:restartNumberingAfterBreak="0">
    <w:nsid w:val="57603996"/>
    <w:multiLevelType w:val="multilevel"/>
    <w:tmpl w:val="F0243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9" w15:restartNumberingAfterBreak="0">
    <w:nsid w:val="5A8C6B0A"/>
    <w:multiLevelType w:val="multilevel"/>
    <w:tmpl w:val="77DA5658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0" w15:restartNumberingAfterBreak="0">
    <w:nsid w:val="609335CB"/>
    <w:multiLevelType w:val="hybridMultilevel"/>
    <w:tmpl w:val="58AAC44E"/>
    <w:lvl w:ilvl="0" w:tplc="209AFE46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247AD2"/>
    <w:multiLevelType w:val="multilevel"/>
    <w:tmpl w:val="2108AF74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2" w15:restartNumberingAfterBreak="0">
    <w:nsid w:val="6F7478C0"/>
    <w:multiLevelType w:val="multilevel"/>
    <w:tmpl w:val="85D6FA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3" w15:restartNumberingAfterBreak="0">
    <w:nsid w:val="6FCF2204"/>
    <w:multiLevelType w:val="multilevel"/>
    <w:tmpl w:val="37705236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4" w15:restartNumberingAfterBreak="0">
    <w:nsid w:val="76271089"/>
    <w:multiLevelType w:val="hybridMultilevel"/>
    <w:tmpl w:val="0F0A50EA"/>
    <w:lvl w:ilvl="0" w:tplc="8CD075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7"/>
  </w:num>
  <w:num w:numId="4">
    <w:abstractNumId w:val="49"/>
  </w:num>
  <w:num w:numId="5">
    <w:abstractNumId w:val="55"/>
  </w:num>
  <w:num w:numId="6">
    <w:abstractNumId w:val="56"/>
  </w:num>
  <w:num w:numId="7">
    <w:abstractNumId w:val="59"/>
  </w:num>
  <w:num w:numId="8">
    <w:abstractNumId w:val="62"/>
  </w:num>
  <w:num w:numId="9">
    <w:abstractNumId w:val="97"/>
  </w:num>
  <w:num w:numId="10">
    <w:abstractNumId w:val="78"/>
  </w:num>
  <w:num w:numId="11">
    <w:abstractNumId w:val="84"/>
  </w:num>
  <w:num w:numId="12">
    <w:abstractNumId w:val="93"/>
  </w:num>
  <w:num w:numId="13">
    <w:abstractNumId w:val="91"/>
  </w:num>
  <w:num w:numId="14">
    <w:abstractNumId w:val="102"/>
  </w:num>
  <w:num w:numId="15">
    <w:abstractNumId w:val="79"/>
  </w:num>
  <w:num w:numId="16">
    <w:abstractNumId w:val="85"/>
  </w:num>
  <w:num w:numId="17">
    <w:abstractNumId w:val="94"/>
  </w:num>
  <w:num w:numId="18">
    <w:abstractNumId w:val="77"/>
  </w:num>
  <w:num w:numId="19">
    <w:abstractNumId w:val="86"/>
  </w:num>
  <w:num w:numId="20">
    <w:abstractNumId w:val="88"/>
  </w:num>
  <w:num w:numId="21">
    <w:abstractNumId w:val="98"/>
  </w:num>
  <w:num w:numId="22">
    <w:abstractNumId w:val="82"/>
  </w:num>
  <w:num w:numId="23">
    <w:abstractNumId w:val="81"/>
  </w:num>
  <w:num w:numId="24">
    <w:abstractNumId w:val="83"/>
  </w:num>
  <w:num w:numId="25">
    <w:abstractNumId w:val="100"/>
  </w:num>
  <w:num w:numId="26">
    <w:abstractNumId w:val="92"/>
  </w:num>
  <w:num w:numId="27">
    <w:abstractNumId w:val="96"/>
  </w:num>
  <w:num w:numId="28">
    <w:abstractNumId w:val="90"/>
  </w:num>
  <w:num w:numId="29">
    <w:abstractNumId w:val="95"/>
  </w:num>
  <w:num w:numId="30">
    <w:abstractNumId w:val="103"/>
  </w:num>
  <w:num w:numId="31">
    <w:abstractNumId w:val="80"/>
  </w:num>
  <w:num w:numId="32">
    <w:abstractNumId w:val="104"/>
  </w:num>
  <w:num w:numId="33">
    <w:abstractNumId w:val="101"/>
  </w:num>
  <w:num w:numId="34">
    <w:abstractNumId w:val="87"/>
  </w:num>
  <w:num w:numId="35">
    <w:abstractNumId w:val="99"/>
  </w:num>
  <w:num w:numId="36">
    <w:abstractNumId w:val="8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7DE"/>
    <w:rsid w:val="000026C1"/>
    <w:rsid w:val="00005F12"/>
    <w:rsid w:val="000060F8"/>
    <w:rsid w:val="00006AD0"/>
    <w:rsid w:val="00012590"/>
    <w:rsid w:val="00020397"/>
    <w:rsid w:val="00022013"/>
    <w:rsid w:val="00023825"/>
    <w:rsid w:val="00023874"/>
    <w:rsid w:val="000249BF"/>
    <w:rsid w:val="00027229"/>
    <w:rsid w:val="00035893"/>
    <w:rsid w:val="00042CB4"/>
    <w:rsid w:val="000433D0"/>
    <w:rsid w:val="000519E8"/>
    <w:rsid w:val="00054E2C"/>
    <w:rsid w:val="000571E0"/>
    <w:rsid w:val="000608B3"/>
    <w:rsid w:val="000657E4"/>
    <w:rsid w:val="00070A61"/>
    <w:rsid w:val="00074691"/>
    <w:rsid w:val="00075C5D"/>
    <w:rsid w:val="00081099"/>
    <w:rsid w:val="000851D9"/>
    <w:rsid w:val="00094E20"/>
    <w:rsid w:val="000A0DEF"/>
    <w:rsid w:val="000A628D"/>
    <w:rsid w:val="000A716D"/>
    <w:rsid w:val="000B2BC6"/>
    <w:rsid w:val="000B385A"/>
    <w:rsid w:val="000B719D"/>
    <w:rsid w:val="000B75CD"/>
    <w:rsid w:val="000C0F10"/>
    <w:rsid w:val="000C1ED5"/>
    <w:rsid w:val="000C3485"/>
    <w:rsid w:val="000C5200"/>
    <w:rsid w:val="000C6348"/>
    <w:rsid w:val="000C671E"/>
    <w:rsid w:val="000D0956"/>
    <w:rsid w:val="000D3138"/>
    <w:rsid w:val="000D4771"/>
    <w:rsid w:val="000E18BF"/>
    <w:rsid w:val="000E25ED"/>
    <w:rsid w:val="000E3403"/>
    <w:rsid w:val="000F0E61"/>
    <w:rsid w:val="000F1DF4"/>
    <w:rsid w:val="000F2633"/>
    <w:rsid w:val="000F345F"/>
    <w:rsid w:val="000F4278"/>
    <w:rsid w:val="000F5247"/>
    <w:rsid w:val="00102B7D"/>
    <w:rsid w:val="0012143A"/>
    <w:rsid w:val="001342D4"/>
    <w:rsid w:val="001343CF"/>
    <w:rsid w:val="00136264"/>
    <w:rsid w:val="0015020E"/>
    <w:rsid w:val="00157B35"/>
    <w:rsid w:val="00160BAA"/>
    <w:rsid w:val="00160FA9"/>
    <w:rsid w:val="001613CC"/>
    <w:rsid w:val="0016209A"/>
    <w:rsid w:val="00162C31"/>
    <w:rsid w:val="00165861"/>
    <w:rsid w:val="00166732"/>
    <w:rsid w:val="0016681C"/>
    <w:rsid w:val="001709BD"/>
    <w:rsid w:val="0017361E"/>
    <w:rsid w:val="00174793"/>
    <w:rsid w:val="001774E3"/>
    <w:rsid w:val="00183ABC"/>
    <w:rsid w:val="0018766A"/>
    <w:rsid w:val="0018773E"/>
    <w:rsid w:val="00187F65"/>
    <w:rsid w:val="001961E2"/>
    <w:rsid w:val="001A390A"/>
    <w:rsid w:val="001B07D8"/>
    <w:rsid w:val="001B1003"/>
    <w:rsid w:val="001B188D"/>
    <w:rsid w:val="001C6F32"/>
    <w:rsid w:val="001D60C0"/>
    <w:rsid w:val="001E055F"/>
    <w:rsid w:val="001E0B0D"/>
    <w:rsid w:val="001E5063"/>
    <w:rsid w:val="001E590C"/>
    <w:rsid w:val="001E719D"/>
    <w:rsid w:val="001F0862"/>
    <w:rsid w:val="001F1626"/>
    <w:rsid w:val="001F3868"/>
    <w:rsid w:val="001F63E4"/>
    <w:rsid w:val="001F6D7A"/>
    <w:rsid w:val="001F74D6"/>
    <w:rsid w:val="00204677"/>
    <w:rsid w:val="00207E30"/>
    <w:rsid w:val="002139FC"/>
    <w:rsid w:val="00215428"/>
    <w:rsid w:val="00224037"/>
    <w:rsid w:val="00224AA6"/>
    <w:rsid w:val="002255D3"/>
    <w:rsid w:val="00235EB7"/>
    <w:rsid w:val="002416C5"/>
    <w:rsid w:val="00244B01"/>
    <w:rsid w:val="00252C91"/>
    <w:rsid w:val="00255929"/>
    <w:rsid w:val="00257574"/>
    <w:rsid w:val="002575FF"/>
    <w:rsid w:val="00261830"/>
    <w:rsid w:val="00262497"/>
    <w:rsid w:val="00273057"/>
    <w:rsid w:val="00275A5D"/>
    <w:rsid w:val="00280834"/>
    <w:rsid w:val="0028431D"/>
    <w:rsid w:val="00285D35"/>
    <w:rsid w:val="00286D48"/>
    <w:rsid w:val="00294F53"/>
    <w:rsid w:val="0029542B"/>
    <w:rsid w:val="002A136E"/>
    <w:rsid w:val="002A1CAC"/>
    <w:rsid w:val="002A65C2"/>
    <w:rsid w:val="002A68EE"/>
    <w:rsid w:val="002B2F36"/>
    <w:rsid w:val="002B7A7B"/>
    <w:rsid w:val="002C4DAC"/>
    <w:rsid w:val="002D008B"/>
    <w:rsid w:val="002D222B"/>
    <w:rsid w:val="002D335F"/>
    <w:rsid w:val="002E530D"/>
    <w:rsid w:val="002E615B"/>
    <w:rsid w:val="002E7974"/>
    <w:rsid w:val="003019B4"/>
    <w:rsid w:val="0030245B"/>
    <w:rsid w:val="00303A2C"/>
    <w:rsid w:val="003105BD"/>
    <w:rsid w:val="00316CAA"/>
    <w:rsid w:val="00323042"/>
    <w:rsid w:val="00323A50"/>
    <w:rsid w:val="00323E2F"/>
    <w:rsid w:val="0033016E"/>
    <w:rsid w:val="00336BED"/>
    <w:rsid w:val="00340416"/>
    <w:rsid w:val="0034318F"/>
    <w:rsid w:val="0035116B"/>
    <w:rsid w:val="00352B7D"/>
    <w:rsid w:val="00355477"/>
    <w:rsid w:val="00355639"/>
    <w:rsid w:val="0036201B"/>
    <w:rsid w:val="003625B0"/>
    <w:rsid w:val="003636FF"/>
    <w:rsid w:val="00363DE0"/>
    <w:rsid w:val="00366461"/>
    <w:rsid w:val="00370EE9"/>
    <w:rsid w:val="003A0165"/>
    <w:rsid w:val="003A2728"/>
    <w:rsid w:val="003B20EF"/>
    <w:rsid w:val="003B5A8D"/>
    <w:rsid w:val="003C0668"/>
    <w:rsid w:val="003D0103"/>
    <w:rsid w:val="003D142A"/>
    <w:rsid w:val="003D1FD3"/>
    <w:rsid w:val="003D6456"/>
    <w:rsid w:val="003E5CA2"/>
    <w:rsid w:val="003F2959"/>
    <w:rsid w:val="003F3FD8"/>
    <w:rsid w:val="003F5CE4"/>
    <w:rsid w:val="003F7C20"/>
    <w:rsid w:val="00405990"/>
    <w:rsid w:val="00412E12"/>
    <w:rsid w:val="0041321E"/>
    <w:rsid w:val="00413A0C"/>
    <w:rsid w:val="00414C3A"/>
    <w:rsid w:val="00415C7F"/>
    <w:rsid w:val="004164A9"/>
    <w:rsid w:val="00416E37"/>
    <w:rsid w:val="0042559E"/>
    <w:rsid w:val="004263B0"/>
    <w:rsid w:val="00440723"/>
    <w:rsid w:val="0044103A"/>
    <w:rsid w:val="004429C6"/>
    <w:rsid w:val="00442F56"/>
    <w:rsid w:val="0044425D"/>
    <w:rsid w:val="004559CB"/>
    <w:rsid w:val="00456E8F"/>
    <w:rsid w:val="00467701"/>
    <w:rsid w:val="00472C60"/>
    <w:rsid w:val="00474780"/>
    <w:rsid w:val="00476CB0"/>
    <w:rsid w:val="00484885"/>
    <w:rsid w:val="00492E43"/>
    <w:rsid w:val="00492F31"/>
    <w:rsid w:val="004962F6"/>
    <w:rsid w:val="004A19CB"/>
    <w:rsid w:val="004A2024"/>
    <w:rsid w:val="004A577C"/>
    <w:rsid w:val="004B4798"/>
    <w:rsid w:val="004B5E2B"/>
    <w:rsid w:val="004C0037"/>
    <w:rsid w:val="004C0822"/>
    <w:rsid w:val="004C324A"/>
    <w:rsid w:val="004C47B9"/>
    <w:rsid w:val="004D0497"/>
    <w:rsid w:val="004D55B8"/>
    <w:rsid w:val="004D5CCB"/>
    <w:rsid w:val="004D6CF9"/>
    <w:rsid w:val="004D7DDA"/>
    <w:rsid w:val="004E12B9"/>
    <w:rsid w:val="004E24B8"/>
    <w:rsid w:val="004E451F"/>
    <w:rsid w:val="004E5105"/>
    <w:rsid w:val="004F1525"/>
    <w:rsid w:val="004F1844"/>
    <w:rsid w:val="00501EF7"/>
    <w:rsid w:val="005056BD"/>
    <w:rsid w:val="005069CD"/>
    <w:rsid w:val="0051078E"/>
    <w:rsid w:val="0051212A"/>
    <w:rsid w:val="00513E7A"/>
    <w:rsid w:val="00517CC5"/>
    <w:rsid w:val="00520B75"/>
    <w:rsid w:val="005213C0"/>
    <w:rsid w:val="00521B70"/>
    <w:rsid w:val="00524777"/>
    <w:rsid w:val="00526DFC"/>
    <w:rsid w:val="00527F91"/>
    <w:rsid w:val="00530F28"/>
    <w:rsid w:val="00532635"/>
    <w:rsid w:val="0053635E"/>
    <w:rsid w:val="00545075"/>
    <w:rsid w:val="00545991"/>
    <w:rsid w:val="00557148"/>
    <w:rsid w:val="005658E0"/>
    <w:rsid w:val="0057437C"/>
    <w:rsid w:val="0058177A"/>
    <w:rsid w:val="00582CC8"/>
    <w:rsid w:val="00582F6C"/>
    <w:rsid w:val="005836C2"/>
    <w:rsid w:val="00586BDE"/>
    <w:rsid w:val="00590721"/>
    <w:rsid w:val="00590CBE"/>
    <w:rsid w:val="0059792B"/>
    <w:rsid w:val="005B40C6"/>
    <w:rsid w:val="005B4AB8"/>
    <w:rsid w:val="005B62C2"/>
    <w:rsid w:val="005C7C02"/>
    <w:rsid w:val="005C7CD3"/>
    <w:rsid w:val="005D064A"/>
    <w:rsid w:val="005D55DD"/>
    <w:rsid w:val="005D5EBF"/>
    <w:rsid w:val="005E0711"/>
    <w:rsid w:val="005E0C19"/>
    <w:rsid w:val="005E5D25"/>
    <w:rsid w:val="005E662F"/>
    <w:rsid w:val="005F0C2B"/>
    <w:rsid w:val="005F0D95"/>
    <w:rsid w:val="005F22EE"/>
    <w:rsid w:val="005F49E1"/>
    <w:rsid w:val="005F605C"/>
    <w:rsid w:val="005F7DB6"/>
    <w:rsid w:val="0060317E"/>
    <w:rsid w:val="00603998"/>
    <w:rsid w:val="00604941"/>
    <w:rsid w:val="00605DEF"/>
    <w:rsid w:val="00611631"/>
    <w:rsid w:val="00612D82"/>
    <w:rsid w:val="00622B30"/>
    <w:rsid w:val="00624B94"/>
    <w:rsid w:val="00633919"/>
    <w:rsid w:val="0063653F"/>
    <w:rsid w:val="00640178"/>
    <w:rsid w:val="00642185"/>
    <w:rsid w:val="006427D5"/>
    <w:rsid w:val="0064329E"/>
    <w:rsid w:val="00643B42"/>
    <w:rsid w:val="00644E0C"/>
    <w:rsid w:val="00645856"/>
    <w:rsid w:val="00655990"/>
    <w:rsid w:val="006578F0"/>
    <w:rsid w:val="00663781"/>
    <w:rsid w:val="00676D55"/>
    <w:rsid w:val="006770A0"/>
    <w:rsid w:val="00682500"/>
    <w:rsid w:val="00687179"/>
    <w:rsid w:val="00696D72"/>
    <w:rsid w:val="006A00D1"/>
    <w:rsid w:val="006A06B8"/>
    <w:rsid w:val="006A3B29"/>
    <w:rsid w:val="006A56EE"/>
    <w:rsid w:val="006A5B23"/>
    <w:rsid w:val="006B0483"/>
    <w:rsid w:val="006B5EF2"/>
    <w:rsid w:val="006B67DE"/>
    <w:rsid w:val="006C0AF0"/>
    <w:rsid w:val="006C25AE"/>
    <w:rsid w:val="006C4D5A"/>
    <w:rsid w:val="006D3747"/>
    <w:rsid w:val="006D3BEA"/>
    <w:rsid w:val="006E022E"/>
    <w:rsid w:val="006E0D1A"/>
    <w:rsid w:val="006E1483"/>
    <w:rsid w:val="006E1943"/>
    <w:rsid w:val="006E416B"/>
    <w:rsid w:val="006E47BA"/>
    <w:rsid w:val="006E54F1"/>
    <w:rsid w:val="006F3B5E"/>
    <w:rsid w:val="006F61C7"/>
    <w:rsid w:val="007247F0"/>
    <w:rsid w:val="00725526"/>
    <w:rsid w:val="007259FE"/>
    <w:rsid w:val="00726203"/>
    <w:rsid w:val="0073609B"/>
    <w:rsid w:val="00745E84"/>
    <w:rsid w:val="007548EA"/>
    <w:rsid w:val="00757F98"/>
    <w:rsid w:val="0076096E"/>
    <w:rsid w:val="00761040"/>
    <w:rsid w:val="00761C70"/>
    <w:rsid w:val="007644DE"/>
    <w:rsid w:val="00765A5E"/>
    <w:rsid w:val="00767D0B"/>
    <w:rsid w:val="00770717"/>
    <w:rsid w:val="007748EF"/>
    <w:rsid w:val="0077498C"/>
    <w:rsid w:val="007759C3"/>
    <w:rsid w:val="0077775D"/>
    <w:rsid w:val="00777C8E"/>
    <w:rsid w:val="00783CD6"/>
    <w:rsid w:val="00784613"/>
    <w:rsid w:val="00796E84"/>
    <w:rsid w:val="007A08B9"/>
    <w:rsid w:val="007A2425"/>
    <w:rsid w:val="007A2854"/>
    <w:rsid w:val="007A2AF1"/>
    <w:rsid w:val="007B11CE"/>
    <w:rsid w:val="007B28FA"/>
    <w:rsid w:val="007B2ECD"/>
    <w:rsid w:val="007B3B17"/>
    <w:rsid w:val="007B6CAB"/>
    <w:rsid w:val="007D5AEC"/>
    <w:rsid w:val="007E69BD"/>
    <w:rsid w:val="007F5DCE"/>
    <w:rsid w:val="00801E7F"/>
    <w:rsid w:val="008060B2"/>
    <w:rsid w:val="00806B3A"/>
    <w:rsid w:val="00811036"/>
    <w:rsid w:val="00811838"/>
    <w:rsid w:val="008165C6"/>
    <w:rsid w:val="00816C76"/>
    <w:rsid w:val="00821161"/>
    <w:rsid w:val="00823D56"/>
    <w:rsid w:val="00823E94"/>
    <w:rsid w:val="0083055A"/>
    <w:rsid w:val="008323A0"/>
    <w:rsid w:val="0083701A"/>
    <w:rsid w:val="00837F2F"/>
    <w:rsid w:val="008418A1"/>
    <w:rsid w:val="00842D18"/>
    <w:rsid w:val="0084379B"/>
    <w:rsid w:val="00844A25"/>
    <w:rsid w:val="00846BD5"/>
    <w:rsid w:val="00847159"/>
    <w:rsid w:val="00850369"/>
    <w:rsid w:val="008510F0"/>
    <w:rsid w:val="00854D0B"/>
    <w:rsid w:val="00855DDF"/>
    <w:rsid w:val="00871DB1"/>
    <w:rsid w:val="0087417F"/>
    <w:rsid w:val="00882FDC"/>
    <w:rsid w:val="00886DDE"/>
    <w:rsid w:val="00887C3A"/>
    <w:rsid w:val="00894DE0"/>
    <w:rsid w:val="0089740D"/>
    <w:rsid w:val="008B40EF"/>
    <w:rsid w:val="008B4DC4"/>
    <w:rsid w:val="008B5B11"/>
    <w:rsid w:val="008C0341"/>
    <w:rsid w:val="008C2637"/>
    <w:rsid w:val="008C48CE"/>
    <w:rsid w:val="008D0CEF"/>
    <w:rsid w:val="008D23FA"/>
    <w:rsid w:val="008D27DD"/>
    <w:rsid w:val="008D2F2C"/>
    <w:rsid w:val="008F0602"/>
    <w:rsid w:val="008F0654"/>
    <w:rsid w:val="008F069F"/>
    <w:rsid w:val="008F594C"/>
    <w:rsid w:val="008F72F8"/>
    <w:rsid w:val="00903F70"/>
    <w:rsid w:val="00904BB3"/>
    <w:rsid w:val="00914AF7"/>
    <w:rsid w:val="00917A91"/>
    <w:rsid w:val="00923AB8"/>
    <w:rsid w:val="00924AC6"/>
    <w:rsid w:val="00932644"/>
    <w:rsid w:val="00934766"/>
    <w:rsid w:val="00940F80"/>
    <w:rsid w:val="00941721"/>
    <w:rsid w:val="00950BE6"/>
    <w:rsid w:val="00954CE5"/>
    <w:rsid w:val="00954EE2"/>
    <w:rsid w:val="009561BE"/>
    <w:rsid w:val="009564C0"/>
    <w:rsid w:val="00956B1F"/>
    <w:rsid w:val="009642F8"/>
    <w:rsid w:val="00965746"/>
    <w:rsid w:val="00976416"/>
    <w:rsid w:val="00981D58"/>
    <w:rsid w:val="0098539B"/>
    <w:rsid w:val="00986472"/>
    <w:rsid w:val="00992C52"/>
    <w:rsid w:val="00992CE7"/>
    <w:rsid w:val="009963C4"/>
    <w:rsid w:val="009A434F"/>
    <w:rsid w:val="009B248D"/>
    <w:rsid w:val="009B61DA"/>
    <w:rsid w:val="009D72AA"/>
    <w:rsid w:val="009E3021"/>
    <w:rsid w:val="009E4B09"/>
    <w:rsid w:val="009E5ED3"/>
    <w:rsid w:val="009E779E"/>
    <w:rsid w:val="009F0010"/>
    <w:rsid w:val="009F0BBF"/>
    <w:rsid w:val="009F1CB9"/>
    <w:rsid w:val="009F2B97"/>
    <w:rsid w:val="009F4103"/>
    <w:rsid w:val="009F48FE"/>
    <w:rsid w:val="009F56A7"/>
    <w:rsid w:val="00A01E48"/>
    <w:rsid w:val="00A02D67"/>
    <w:rsid w:val="00A031A7"/>
    <w:rsid w:val="00A1006C"/>
    <w:rsid w:val="00A12BCD"/>
    <w:rsid w:val="00A13975"/>
    <w:rsid w:val="00A24982"/>
    <w:rsid w:val="00A27973"/>
    <w:rsid w:val="00A30EDA"/>
    <w:rsid w:val="00A3280F"/>
    <w:rsid w:val="00A36220"/>
    <w:rsid w:val="00A36864"/>
    <w:rsid w:val="00A42B1F"/>
    <w:rsid w:val="00A432D5"/>
    <w:rsid w:val="00A4458A"/>
    <w:rsid w:val="00A4653F"/>
    <w:rsid w:val="00A47479"/>
    <w:rsid w:val="00A50319"/>
    <w:rsid w:val="00A517F2"/>
    <w:rsid w:val="00A53573"/>
    <w:rsid w:val="00A5405D"/>
    <w:rsid w:val="00A543A8"/>
    <w:rsid w:val="00A54CC4"/>
    <w:rsid w:val="00A6498D"/>
    <w:rsid w:val="00A65F94"/>
    <w:rsid w:val="00A72817"/>
    <w:rsid w:val="00A777FD"/>
    <w:rsid w:val="00A809FD"/>
    <w:rsid w:val="00A823A9"/>
    <w:rsid w:val="00A83AE3"/>
    <w:rsid w:val="00A8472E"/>
    <w:rsid w:val="00A85502"/>
    <w:rsid w:val="00A902B2"/>
    <w:rsid w:val="00A91085"/>
    <w:rsid w:val="00A92498"/>
    <w:rsid w:val="00A94B50"/>
    <w:rsid w:val="00A96578"/>
    <w:rsid w:val="00AA378E"/>
    <w:rsid w:val="00AB49C7"/>
    <w:rsid w:val="00AC193D"/>
    <w:rsid w:val="00AC3493"/>
    <w:rsid w:val="00AC6003"/>
    <w:rsid w:val="00AD1C7D"/>
    <w:rsid w:val="00AD4CAC"/>
    <w:rsid w:val="00AD5FB8"/>
    <w:rsid w:val="00AD7199"/>
    <w:rsid w:val="00AD7433"/>
    <w:rsid w:val="00AE2062"/>
    <w:rsid w:val="00AE30B0"/>
    <w:rsid w:val="00AE4EA8"/>
    <w:rsid w:val="00AF0339"/>
    <w:rsid w:val="00AF30F4"/>
    <w:rsid w:val="00AF588D"/>
    <w:rsid w:val="00B01B6B"/>
    <w:rsid w:val="00B033CB"/>
    <w:rsid w:val="00B060A2"/>
    <w:rsid w:val="00B12C48"/>
    <w:rsid w:val="00B20DB0"/>
    <w:rsid w:val="00B234E1"/>
    <w:rsid w:val="00B24AE7"/>
    <w:rsid w:val="00B2613E"/>
    <w:rsid w:val="00B30147"/>
    <w:rsid w:val="00B309F5"/>
    <w:rsid w:val="00B3287D"/>
    <w:rsid w:val="00B34799"/>
    <w:rsid w:val="00B35EE6"/>
    <w:rsid w:val="00B361C2"/>
    <w:rsid w:val="00B3756C"/>
    <w:rsid w:val="00B41D45"/>
    <w:rsid w:val="00B439BB"/>
    <w:rsid w:val="00B452B0"/>
    <w:rsid w:val="00B463C7"/>
    <w:rsid w:val="00B470EC"/>
    <w:rsid w:val="00B50938"/>
    <w:rsid w:val="00B549C7"/>
    <w:rsid w:val="00B56A3C"/>
    <w:rsid w:val="00B57C0A"/>
    <w:rsid w:val="00B60C15"/>
    <w:rsid w:val="00B63B1F"/>
    <w:rsid w:val="00B644D1"/>
    <w:rsid w:val="00B72CD6"/>
    <w:rsid w:val="00B773C4"/>
    <w:rsid w:val="00B81777"/>
    <w:rsid w:val="00B8360B"/>
    <w:rsid w:val="00B84E03"/>
    <w:rsid w:val="00B905C3"/>
    <w:rsid w:val="00B962C3"/>
    <w:rsid w:val="00BA0FC9"/>
    <w:rsid w:val="00BA101B"/>
    <w:rsid w:val="00BA1B1C"/>
    <w:rsid w:val="00BA4FDA"/>
    <w:rsid w:val="00BA504F"/>
    <w:rsid w:val="00BA57D8"/>
    <w:rsid w:val="00BA69BA"/>
    <w:rsid w:val="00BB14FF"/>
    <w:rsid w:val="00BB4488"/>
    <w:rsid w:val="00BB4A32"/>
    <w:rsid w:val="00BB5138"/>
    <w:rsid w:val="00BB67E1"/>
    <w:rsid w:val="00BB7933"/>
    <w:rsid w:val="00BC4BFE"/>
    <w:rsid w:val="00BC4F0E"/>
    <w:rsid w:val="00BC776D"/>
    <w:rsid w:val="00BC7854"/>
    <w:rsid w:val="00BD0B6E"/>
    <w:rsid w:val="00BD1068"/>
    <w:rsid w:val="00BE03DC"/>
    <w:rsid w:val="00BE0C38"/>
    <w:rsid w:val="00BE2A05"/>
    <w:rsid w:val="00BE398B"/>
    <w:rsid w:val="00BE4D9B"/>
    <w:rsid w:val="00BE5046"/>
    <w:rsid w:val="00BE663B"/>
    <w:rsid w:val="00BF4B12"/>
    <w:rsid w:val="00C02C74"/>
    <w:rsid w:val="00C03034"/>
    <w:rsid w:val="00C10939"/>
    <w:rsid w:val="00C125E7"/>
    <w:rsid w:val="00C1456E"/>
    <w:rsid w:val="00C15BDD"/>
    <w:rsid w:val="00C1644D"/>
    <w:rsid w:val="00C2365C"/>
    <w:rsid w:val="00C263FB"/>
    <w:rsid w:val="00C269D6"/>
    <w:rsid w:val="00C36594"/>
    <w:rsid w:val="00C37981"/>
    <w:rsid w:val="00C40D06"/>
    <w:rsid w:val="00C413F5"/>
    <w:rsid w:val="00C44A8A"/>
    <w:rsid w:val="00C45034"/>
    <w:rsid w:val="00C53799"/>
    <w:rsid w:val="00C562A5"/>
    <w:rsid w:val="00C57B6A"/>
    <w:rsid w:val="00C6243A"/>
    <w:rsid w:val="00C711F4"/>
    <w:rsid w:val="00C74088"/>
    <w:rsid w:val="00C76EBC"/>
    <w:rsid w:val="00C81CCC"/>
    <w:rsid w:val="00C91B29"/>
    <w:rsid w:val="00C92D0C"/>
    <w:rsid w:val="00C936BC"/>
    <w:rsid w:val="00C93BA0"/>
    <w:rsid w:val="00C97068"/>
    <w:rsid w:val="00CA0430"/>
    <w:rsid w:val="00CA3EEB"/>
    <w:rsid w:val="00CA6194"/>
    <w:rsid w:val="00CA61E6"/>
    <w:rsid w:val="00CA73C7"/>
    <w:rsid w:val="00CA7CAD"/>
    <w:rsid w:val="00CB3AE7"/>
    <w:rsid w:val="00CC3FD0"/>
    <w:rsid w:val="00CC4F09"/>
    <w:rsid w:val="00CC6C9D"/>
    <w:rsid w:val="00CD5537"/>
    <w:rsid w:val="00CD6548"/>
    <w:rsid w:val="00CD6A48"/>
    <w:rsid w:val="00CD7888"/>
    <w:rsid w:val="00CE0E93"/>
    <w:rsid w:val="00CE6384"/>
    <w:rsid w:val="00CF2C4A"/>
    <w:rsid w:val="00CF3AA1"/>
    <w:rsid w:val="00CF4867"/>
    <w:rsid w:val="00CF48C4"/>
    <w:rsid w:val="00D02583"/>
    <w:rsid w:val="00D04A65"/>
    <w:rsid w:val="00D06528"/>
    <w:rsid w:val="00D14103"/>
    <w:rsid w:val="00D1588C"/>
    <w:rsid w:val="00D205D9"/>
    <w:rsid w:val="00D20AB4"/>
    <w:rsid w:val="00D22B59"/>
    <w:rsid w:val="00D26DEC"/>
    <w:rsid w:val="00D30967"/>
    <w:rsid w:val="00D310E5"/>
    <w:rsid w:val="00D31811"/>
    <w:rsid w:val="00D349C0"/>
    <w:rsid w:val="00D3565E"/>
    <w:rsid w:val="00D370B8"/>
    <w:rsid w:val="00D46908"/>
    <w:rsid w:val="00D56A0A"/>
    <w:rsid w:val="00D62335"/>
    <w:rsid w:val="00D62F07"/>
    <w:rsid w:val="00D633BF"/>
    <w:rsid w:val="00D8230D"/>
    <w:rsid w:val="00D84CCA"/>
    <w:rsid w:val="00D86A4D"/>
    <w:rsid w:val="00D86D41"/>
    <w:rsid w:val="00D91797"/>
    <w:rsid w:val="00D93563"/>
    <w:rsid w:val="00D975FB"/>
    <w:rsid w:val="00DA217B"/>
    <w:rsid w:val="00DA4957"/>
    <w:rsid w:val="00DB3D84"/>
    <w:rsid w:val="00DC62F3"/>
    <w:rsid w:val="00DD3D4F"/>
    <w:rsid w:val="00DD4C0F"/>
    <w:rsid w:val="00DD5995"/>
    <w:rsid w:val="00DE4D03"/>
    <w:rsid w:val="00DE6BF1"/>
    <w:rsid w:val="00DF0765"/>
    <w:rsid w:val="00DF3374"/>
    <w:rsid w:val="00E013C8"/>
    <w:rsid w:val="00E0145A"/>
    <w:rsid w:val="00E03BF5"/>
    <w:rsid w:val="00E0406A"/>
    <w:rsid w:val="00E05DA9"/>
    <w:rsid w:val="00E1127F"/>
    <w:rsid w:val="00E12DAC"/>
    <w:rsid w:val="00E15B06"/>
    <w:rsid w:val="00E21B4E"/>
    <w:rsid w:val="00E23A7E"/>
    <w:rsid w:val="00E26C4D"/>
    <w:rsid w:val="00E26E29"/>
    <w:rsid w:val="00E30EB7"/>
    <w:rsid w:val="00E31481"/>
    <w:rsid w:val="00E31DFF"/>
    <w:rsid w:val="00E33F0A"/>
    <w:rsid w:val="00E35197"/>
    <w:rsid w:val="00E412EB"/>
    <w:rsid w:val="00E42EF0"/>
    <w:rsid w:val="00E443BF"/>
    <w:rsid w:val="00E451CC"/>
    <w:rsid w:val="00E50652"/>
    <w:rsid w:val="00E506CA"/>
    <w:rsid w:val="00E50E62"/>
    <w:rsid w:val="00E52B79"/>
    <w:rsid w:val="00E57E45"/>
    <w:rsid w:val="00E66DE7"/>
    <w:rsid w:val="00E73032"/>
    <w:rsid w:val="00E7304E"/>
    <w:rsid w:val="00E73EE9"/>
    <w:rsid w:val="00E76586"/>
    <w:rsid w:val="00E805AD"/>
    <w:rsid w:val="00E83E8D"/>
    <w:rsid w:val="00E85B9D"/>
    <w:rsid w:val="00E9100D"/>
    <w:rsid w:val="00EA1EB7"/>
    <w:rsid w:val="00EA2567"/>
    <w:rsid w:val="00EA42E7"/>
    <w:rsid w:val="00EA5E7C"/>
    <w:rsid w:val="00EB47D0"/>
    <w:rsid w:val="00EB7A45"/>
    <w:rsid w:val="00EC0E4F"/>
    <w:rsid w:val="00EC1977"/>
    <w:rsid w:val="00EC1B0B"/>
    <w:rsid w:val="00ED2B02"/>
    <w:rsid w:val="00ED4C26"/>
    <w:rsid w:val="00ED7671"/>
    <w:rsid w:val="00EE10C8"/>
    <w:rsid w:val="00EE3C36"/>
    <w:rsid w:val="00EE4410"/>
    <w:rsid w:val="00EE6A8C"/>
    <w:rsid w:val="00EF0A80"/>
    <w:rsid w:val="00EF0D7F"/>
    <w:rsid w:val="00EF3196"/>
    <w:rsid w:val="00EF4B31"/>
    <w:rsid w:val="00EF5A09"/>
    <w:rsid w:val="00EF5DE4"/>
    <w:rsid w:val="00EF7FA5"/>
    <w:rsid w:val="00F015D7"/>
    <w:rsid w:val="00F12227"/>
    <w:rsid w:val="00F2065C"/>
    <w:rsid w:val="00F24E02"/>
    <w:rsid w:val="00F304F0"/>
    <w:rsid w:val="00F308DD"/>
    <w:rsid w:val="00F30D5C"/>
    <w:rsid w:val="00F3300A"/>
    <w:rsid w:val="00F3515F"/>
    <w:rsid w:val="00F503B4"/>
    <w:rsid w:val="00F51DF0"/>
    <w:rsid w:val="00F55738"/>
    <w:rsid w:val="00F571C7"/>
    <w:rsid w:val="00F62E27"/>
    <w:rsid w:val="00F65312"/>
    <w:rsid w:val="00F775D0"/>
    <w:rsid w:val="00F81D60"/>
    <w:rsid w:val="00F834DA"/>
    <w:rsid w:val="00F865D2"/>
    <w:rsid w:val="00F87693"/>
    <w:rsid w:val="00F919A4"/>
    <w:rsid w:val="00F94446"/>
    <w:rsid w:val="00FA1BEC"/>
    <w:rsid w:val="00FA2032"/>
    <w:rsid w:val="00FA2100"/>
    <w:rsid w:val="00FA74A4"/>
    <w:rsid w:val="00FA7D63"/>
    <w:rsid w:val="00FB0CD1"/>
    <w:rsid w:val="00FB5FE4"/>
    <w:rsid w:val="00FB76AB"/>
    <w:rsid w:val="00FC1E70"/>
    <w:rsid w:val="00FD05C9"/>
    <w:rsid w:val="00FE04FA"/>
    <w:rsid w:val="00FE2480"/>
    <w:rsid w:val="00FE756B"/>
    <w:rsid w:val="00FF2A89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7EA0787"/>
  <w15:docId w15:val="{1BFBEF34-3705-449E-84CF-C84111BB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CE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rsid w:val="003F5CE4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sid w:val="003F5CE4"/>
    <w:rPr>
      <w:sz w:val="22"/>
      <w:szCs w:val="22"/>
    </w:rPr>
  </w:style>
  <w:style w:type="character" w:customStyle="1" w:styleId="FooterChar">
    <w:name w:val="Footer Char"/>
    <w:uiPriority w:val="99"/>
    <w:rsid w:val="003F5CE4"/>
    <w:rPr>
      <w:sz w:val="22"/>
      <w:szCs w:val="22"/>
    </w:rPr>
  </w:style>
  <w:style w:type="character" w:customStyle="1" w:styleId="BalloonTextChar">
    <w:name w:val="Balloon Text Char"/>
    <w:rsid w:val="003F5CE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rsid w:val="003F5CE4"/>
  </w:style>
  <w:style w:type="character" w:customStyle="1" w:styleId="FootnoteReference1">
    <w:name w:val="Footnote Reference1"/>
    <w:rsid w:val="003F5CE4"/>
    <w:rPr>
      <w:vertAlign w:val="superscript"/>
    </w:rPr>
  </w:style>
  <w:style w:type="character" w:customStyle="1" w:styleId="CommentReference1">
    <w:name w:val="Comment Reference1"/>
    <w:rsid w:val="003F5CE4"/>
    <w:rPr>
      <w:sz w:val="16"/>
      <w:szCs w:val="16"/>
    </w:rPr>
  </w:style>
  <w:style w:type="character" w:customStyle="1" w:styleId="CommentTextChar">
    <w:name w:val="Comment Text Char"/>
    <w:rsid w:val="003F5CE4"/>
    <w:rPr>
      <w:lang w:val="en-GB"/>
    </w:rPr>
  </w:style>
  <w:style w:type="character" w:customStyle="1" w:styleId="CommentSubjectChar">
    <w:name w:val="Comment Subject Char"/>
    <w:rsid w:val="003F5CE4"/>
    <w:rPr>
      <w:b/>
      <w:bCs/>
      <w:lang w:val="en-GB"/>
    </w:rPr>
  </w:style>
  <w:style w:type="character" w:customStyle="1" w:styleId="Heading1Char">
    <w:name w:val="Heading 1 Char"/>
    <w:rsid w:val="003F5CE4"/>
    <w:rPr>
      <w:rFonts w:ascii="Cambria" w:hAnsi="Cambria"/>
      <w:b/>
      <w:bCs/>
      <w:color w:val="365F91"/>
      <w:sz w:val="28"/>
      <w:szCs w:val="28"/>
    </w:rPr>
  </w:style>
  <w:style w:type="character" w:styleId="Hyperlink">
    <w:name w:val="Hyperlink"/>
    <w:rsid w:val="003F5CE4"/>
    <w:rPr>
      <w:color w:val="0000FF"/>
      <w:u w:val="single"/>
    </w:rPr>
  </w:style>
  <w:style w:type="character" w:customStyle="1" w:styleId="ListLabel1">
    <w:name w:val="ListLabel 1"/>
    <w:rsid w:val="003F5CE4"/>
    <w:rPr>
      <w:rFonts w:cs="Courier New"/>
    </w:rPr>
  </w:style>
  <w:style w:type="character" w:customStyle="1" w:styleId="ListLabel2">
    <w:name w:val="ListLabel 2"/>
    <w:rsid w:val="003F5CE4"/>
    <w:rPr>
      <w:rFonts w:eastAsia="Calibri" w:cs="Calibri"/>
    </w:rPr>
  </w:style>
  <w:style w:type="character" w:customStyle="1" w:styleId="ListLabel3">
    <w:name w:val="ListLabel 3"/>
    <w:rsid w:val="003F5CE4"/>
    <w:rPr>
      <w:sz w:val="24"/>
      <w:szCs w:val="24"/>
    </w:rPr>
  </w:style>
  <w:style w:type="character" w:customStyle="1" w:styleId="Caracteresdenotaalpie">
    <w:name w:val="Caracteres de nota al pie"/>
    <w:rsid w:val="003F5CE4"/>
  </w:style>
  <w:style w:type="character" w:styleId="FootnoteReference">
    <w:name w:val="footnote reference"/>
    <w:rsid w:val="003F5CE4"/>
    <w:rPr>
      <w:vertAlign w:val="superscript"/>
    </w:rPr>
  </w:style>
  <w:style w:type="character" w:styleId="EndnoteReference">
    <w:name w:val="endnote reference"/>
    <w:rsid w:val="003F5CE4"/>
    <w:rPr>
      <w:vertAlign w:val="superscript"/>
    </w:rPr>
  </w:style>
  <w:style w:type="character" w:customStyle="1" w:styleId="Caracteresdenotafinal">
    <w:name w:val="Caracteres de nota final"/>
    <w:rsid w:val="003F5CE4"/>
  </w:style>
  <w:style w:type="paragraph" w:customStyle="1" w:styleId="Encabezado">
    <w:name w:val="Encabezado"/>
    <w:basedOn w:val="Normal"/>
    <w:next w:val="BodyText"/>
    <w:rsid w:val="003F5C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3F5CE4"/>
    <w:pPr>
      <w:spacing w:after="120"/>
    </w:pPr>
  </w:style>
  <w:style w:type="paragraph" w:styleId="List">
    <w:name w:val="List"/>
    <w:basedOn w:val="BodyText"/>
    <w:rsid w:val="003F5CE4"/>
    <w:rPr>
      <w:rFonts w:cs="Mangal"/>
    </w:rPr>
  </w:style>
  <w:style w:type="paragraph" w:customStyle="1" w:styleId="Etiqueta">
    <w:name w:val="Etiqueta"/>
    <w:basedOn w:val="Normal"/>
    <w:rsid w:val="003F5C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F5CE4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3F5CE4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rsid w:val="003F5CE4"/>
    <w:pPr>
      <w:suppressLineNumbers/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3F5CE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Normal"/>
    <w:rsid w:val="003F5C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F5CE4"/>
    <w:pPr>
      <w:spacing w:after="0" w:line="100" w:lineRule="atLeast"/>
      <w:ind w:left="720"/>
    </w:pPr>
    <w:rPr>
      <w:rFonts w:eastAsia="SimSun" w:cs="Calibri"/>
    </w:rPr>
  </w:style>
  <w:style w:type="paragraph" w:customStyle="1" w:styleId="CommentText1">
    <w:name w:val="Comment Text1"/>
    <w:basedOn w:val="Normal"/>
    <w:rsid w:val="003F5CE4"/>
    <w:rPr>
      <w:sz w:val="20"/>
      <w:szCs w:val="20"/>
    </w:rPr>
  </w:style>
  <w:style w:type="paragraph" w:customStyle="1" w:styleId="CommentSubject1">
    <w:name w:val="Comment Subject1"/>
    <w:basedOn w:val="CommentText1"/>
    <w:rsid w:val="003F5CE4"/>
    <w:rPr>
      <w:b/>
      <w:bCs/>
    </w:rPr>
  </w:style>
  <w:style w:type="paragraph" w:styleId="Revision">
    <w:name w:val="Revision"/>
    <w:rsid w:val="003F5CE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Guide-Normal">
    <w:name w:val="Guide - Normal"/>
    <w:basedOn w:val="Normal"/>
    <w:rsid w:val="003F5CE4"/>
    <w:pPr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</w:rPr>
  </w:style>
  <w:style w:type="paragraph" w:customStyle="1" w:styleId="Contact">
    <w:name w:val="Contact"/>
    <w:basedOn w:val="Normal"/>
    <w:rsid w:val="003F5CE4"/>
    <w:pPr>
      <w:spacing w:after="480" w:line="100" w:lineRule="atLeast"/>
      <w:ind w:left="567" w:hanging="567"/>
    </w:pPr>
    <w:rPr>
      <w:rFonts w:ascii="Times New Roman" w:eastAsia="Times New Roman" w:hAnsi="Times New Roman"/>
      <w:sz w:val="24"/>
      <w:szCs w:val="20"/>
    </w:rPr>
  </w:style>
  <w:style w:type="paragraph" w:styleId="ListBullet">
    <w:name w:val="List Bullet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Bullet1">
    <w:name w:val="List Bullet 1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2">
    <w:name w:val="List Bullet 2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3">
    <w:name w:val="List Bullet 3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ListBullet4">
    <w:name w:val="List Bullet 4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">
    <w:name w:val="List Dash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1">
    <w:name w:val="List Dash 1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2">
    <w:name w:val="List Dash 2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3">
    <w:name w:val="List Dash 3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Dash4">
    <w:name w:val="List Dash 4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">
    <w:name w:val="List Number"/>
    <w:basedOn w:val="Normal"/>
    <w:rsid w:val="003F5CE4"/>
    <w:pPr>
      <w:tabs>
        <w:tab w:val="num" w:pos="1911"/>
      </w:tabs>
      <w:spacing w:after="240" w:line="100" w:lineRule="atLeast"/>
      <w:ind w:left="1911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">
    <w:name w:val="List Number 1"/>
    <w:basedOn w:val="Normal"/>
    <w:rsid w:val="003F5CE4"/>
    <w:pPr>
      <w:tabs>
        <w:tab w:val="num" w:pos="1911"/>
      </w:tabs>
      <w:spacing w:after="240" w:line="100" w:lineRule="atLeast"/>
      <w:ind w:left="1911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2">
    <w:name w:val="List Number 2"/>
    <w:basedOn w:val="Normal"/>
    <w:rsid w:val="003F5CE4"/>
    <w:pPr>
      <w:tabs>
        <w:tab w:val="num" w:pos="1911"/>
      </w:tabs>
      <w:spacing w:after="240" w:line="100" w:lineRule="atLeast"/>
      <w:ind w:left="1911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3">
    <w:name w:val="List Number 3"/>
    <w:basedOn w:val="Normal"/>
    <w:rsid w:val="003F5CE4"/>
    <w:pPr>
      <w:tabs>
        <w:tab w:val="num" w:pos="1911"/>
      </w:tabs>
      <w:spacing w:after="240" w:line="100" w:lineRule="atLeast"/>
      <w:ind w:left="1911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styleId="ListNumber4">
    <w:name w:val="List Number 4"/>
    <w:basedOn w:val="Normal"/>
    <w:rsid w:val="003F5CE4"/>
    <w:pPr>
      <w:tabs>
        <w:tab w:val="num" w:pos="1911"/>
      </w:tabs>
      <w:spacing w:after="240" w:line="100" w:lineRule="atLeast"/>
      <w:ind w:left="1911" w:hanging="709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2">
    <w:name w:val="List Number (Level 2)"/>
    <w:basedOn w:val="Normal"/>
    <w:rsid w:val="003F5CE4"/>
    <w:pPr>
      <w:tabs>
        <w:tab w:val="num" w:pos="1911"/>
      </w:tabs>
      <w:spacing w:after="240" w:line="100" w:lineRule="atLeast"/>
      <w:ind w:left="1911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2">
    <w:name w:val="List Number 1 (Level 2)"/>
    <w:basedOn w:val="Normal"/>
    <w:rsid w:val="003F5CE4"/>
    <w:pPr>
      <w:tabs>
        <w:tab w:val="num" w:pos="1911"/>
      </w:tabs>
      <w:spacing w:after="240" w:line="100" w:lineRule="atLeast"/>
      <w:ind w:left="1911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2">
    <w:name w:val="List Number 2 (Level 2)"/>
    <w:basedOn w:val="Normal"/>
    <w:rsid w:val="003F5CE4"/>
    <w:pPr>
      <w:tabs>
        <w:tab w:val="num" w:pos="1911"/>
      </w:tabs>
      <w:spacing w:after="240" w:line="100" w:lineRule="atLeast"/>
      <w:ind w:left="1911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2">
    <w:name w:val="List Number 3 (Level 2)"/>
    <w:basedOn w:val="Normal"/>
    <w:rsid w:val="003F5CE4"/>
    <w:pPr>
      <w:tabs>
        <w:tab w:val="num" w:pos="1911"/>
      </w:tabs>
      <w:spacing w:after="240" w:line="100" w:lineRule="atLeast"/>
      <w:ind w:left="1911" w:hanging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2">
    <w:name w:val="List Number 4 (Level 2)"/>
    <w:basedOn w:val="Normal"/>
    <w:rsid w:val="003F5CE4"/>
    <w:pPr>
      <w:numPr>
        <w:ilvl w:val="1"/>
        <w:numId w:val="1"/>
      </w:numPr>
      <w:spacing w:after="240" w:line="100" w:lineRule="atLeast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3">
    <w:name w:val="List Number (Level 3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3">
    <w:name w:val="List Number 1 (Level 3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3">
    <w:name w:val="List Number 2 (Level 3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3">
    <w:name w:val="List Number 3 (Level 3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3">
    <w:name w:val="List Number 4 (Level 3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Level4">
    <w:name w:val="List Number (Level 4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1Level4">
    <w:name w:val="List Number 1 (Level 4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2Level4">
    <w:name w:val="List Number 2 (Level 4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3Level4">
    <w:name w:val="List Number 3 (Level 4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Number4Level4">
    <w:name w:val="List Number 4 (Level 4)"/>
    <w:basedOn w:val="Normal"/>
    <w:rsid w:val="003F5CE4"/>
    <w:pPr>
      <w:spacing w:after="240" w:line="10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TOC5">
    <w:name w:val="toc 5"/>
    <w:basedOn w:val="Normal"/>
    <w:rsid w:val="003F5CE4"/>
    <w:pPr>
      <w:tabs>
        <w:tab w:val="right" w:leader="dot" w:pos="8641"/>
      </w:tabs>
      <w:spacing w:before="240" w:after="120" w:line="100" w:lineRule="atLeast"/>
      <w:ind w:left="1132" w:right="720"/>
      <w:jc w:val="both"/>
    </w:pPr>
    <w:rPr>
      <w:rFonts w:ascii="Times New Roman" w:eastAsia="Times New Roman" w:hAnsi="Times New Roman"/>
      <w:caps/>
      <w:sz w:val="24"/>
      <w:szCs w:val="20"/>
    </w:rPr>
  </w:style>
  <w:style w:type="paragraph" w:customStyle="1" w:styleId="Encabezadodelndice">
    <w:name w:val="Encabezado del índice"/>
    <w:basedOn w:val="Normal"/>
    <w:rsid w:val="003F5CE4"/>
    <w:pPr>
      <w:keepNext/>
      <w:suppressLineNumbers/>
      <w:spacing w:before="240" w:after="24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TOC1">
    <w:name w:val="toc 1"/>
    <w:basedOn w:val="Normal"/>
    <w:rsid w:val="003F5CE4"/>
    <w:pPr>
      <w:tabs>
        <w:tab w:val="right" w:leader="dot" w:pos="8640"/>
      </w:tabs>
      <w:spacing w:before="120" w:after="120" w:line="100" w:lineRule="atLeast"/>
      <w:ind w:left="482" w:right="720" w:hanging="482"/>
      <w:jc w:val="both"/>
    </w:pPr>
    <w:rPr>
      <w:rFonts w:ascii="Times New Roman" w:eastAsia="Times New Roman" w:hAnsi="Times New Roman"/>
      <w:caps/>
      <w:sz w:val="24"/>
      <w:szCs w:val="20"/>
    </w:rPr>
  </w:style>
  <w:style w:type="paragraph" w:styleId="TOC2">
    <w:name w:val="toc 2"/>
    <w:basedOn w:val="Normal"/>
    <w:rsid w:val="003F5CE4"/>
    <w:pPr>
      <w:tabs>
        <w:tab w:val="right" w:leader="dot" w:pos="8640"/>
      </w:tabs>
      <w:spacing w:before="60" w:after="60" w:line="100" w:lineRule="atLeast"/>
      <w:ind w:left="1077" w:right="720" w:hanging="595"/>
      <w:jc w:val="both"/>
    </w:pPr>
    <w:rPr>
      <w:rFonts w:ascii="Times New Roman" w:eastAsia="Times New Roman" w:hAnsi="Times New Roman"/>
      <w:sz w:val="24"/>
      <w:szCs w:val="20"/>
    </w:rPr>
  </w:style>
  <w:style w:type="paragraph" w:styleId="TOC3">
    <w:name w:val="toc 3"/>
    <w:basedOn w:val="Normal"/>
    <w:rsid w:val="003F5CE4"/>
    <w:pPr>
      <w:tabs>
        <w:tab w:val="right" w:leader="dot" w:pos="8640"/>
      </w:tabs>
      <w:spacing w:before="60" w:after="60" w:line="100" w:lineRule="atLeast"/>
      <w:ind w:left="1916" w:right="720" w:hanging="839"/>
      <w:jc w:val="both"/>
    </w:pPr>
    <w:rPr>
      <w:rFonts w:ascii="Times New Roman" w:eastAsia="Times New Roman" w:hAnsi="Times New Roman"/>
      <w:sz w:val="24"/>
      <w:szCs w:val="20"/>
    </w:rPr>
  </w:style>
  <w:style w:type="paragraph" w:styleId="TOC4">
    <w:name w:val="toc 4"/>
    <w:basedOn w:val="Normal"/>
    <w:rsid w:val="003F5CE4"/>
    <w:pPr>
      <w:tabs>
        <w:tab w:val="right" w:leader="dot" w:pos="8641"/>
      </w:tabs>
      <w:spacing w:before="60" w:after="60" w:line="100" w:lineRule="atLeast"/>
      <w:ind w:left="2880" w:right="720" w:hanging="964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F5CE4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rsid w:val="003F5CE4"/>
    <w:pPr>
      <w:suppressLineNumbers/>
      <w:ind w:left="283" w:hanging="283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3565E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3565E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D3565E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3565E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3565E"/>
    <w:rPr>
      <w:rFonts w:ascii="Calibri" w:eastAsia="Calibri" w:hAnsi="Calibri"/>
      <w:b/>
      <w:bCs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56A0A"/>
    <w:rPr>
      <w:color w:val="800080" w:themeColor="followedHyperlink"/>
      <w:u w:val="single"/>
    </w:rPr>
  </w:style>
  <w:style w:type="character" w:customStyle="1" w:styleId="HeaderChar1">
    <w:name w:val="Header Char1"/>
    <w:basedOn w:val="DefaultParagraphFont"/>
    <w:link w:val="Header"/>
    <w:uiPriority w:val="99"/>
    <w:rsid w:val="00FA1BEC"/>
    <w:rPr>
      <w:rFonts w:ascii="Calibri" w:eastAsia="Calibri" w:hAnsi="Calibri"/>
      <w:sz w:val="22"/>
      <w:szCs w:val="2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5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ec.europa.eu/programmes/erasmus-plus/tools/distance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2CB4-3AA7-4B20-80A5-EE9567064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C499B-256D-4DE7-9508-FDA4BCA94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43F76-5481-4808-8A13-99D1D1A221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E2A752-58DD-4940-8600-2F17A6DBA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61D02A-9708-48BB-8F1A-87090F2AEBD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839BA74-717C-41B4-A336-65BB95E961C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7FA9A8C-A6EB-4EF2-AC03-4450CF63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21899</CharactersWithSpaces>
  <SharedDoc>false</SharedDoc>
  <HLinks>
    <vt:vector size="18" baseType="variant">
      <vt:variant>
        <vt:i4>917630</vt:i4>
      </vt:variant>
      <vt:variant>
        <vt:i4>6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917630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917630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Eva Bikarova</cp:lastModifiedBy>
  <cp:revision>12</cp:revision>
  <cp:lastPrinted>2018-01-10T12:54:00Z</cp:lastPrinted>
  <dcterms:created xsi:type="dcterms:W3CDTF">2019-04-30T12:45:00Z</dcterms:created>
  <dcterms:modified xsi:type="dcterms:W3CDTF">2019-05-03T09:16:00Z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European Commission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Final date of delivery">
    <vt:lpwstr>2018-01-15T00:00:00Z</vt:lpwstr>
  </property>
  <property fmtid="{D5CDD505-2E9C-101B-9397-08002B2CF9AE}" pid="10" name="Leader (staff member)">
    <vt:lpwstr>MHM</vt:lpwstr>
  </property>
  <property fmtid="{D5CDD505-2E9C-101B-9397-08002B2CF9AE}" pid="11" name="Other stakeholders">
    <vt:lpwstr/>
  </property>
  <property fmtid="{D5CDD505-2E9C-101B-9397-08002B2CF9AE}" pid="12" name="Year">
    <vt:lpwstr>2018</vt:lpwstr>
  </property>
  <property fmtid="{D5CDD505-2E9C-101B-9397-08002B2CF9AE}" pid="13" name="Leader (unit)">
    <vt:lpwstr>B4</vt:lpwstr>
  </property>
  <property fmtid="{D5CDD505-2E9C-101B-9397-08002B2CF9AE}" pid="14" name="About">
    <vt:lpwstr>Grant agreements with beneficiaries</vt:lpwstr>
  </property>
  <property fmtid="{D5CDD505-2E9C-101B-9397-08002B2CF9AE}" pid="15" name="Status">
    <vt:lpwstr>EAC consultation</vt:lpwstr>
  </property>
  <property fmtid="{D5CDD505-2E9C-101B-9397-08002B2CF9AE}" pid="16" name="Contributors">
    <vt:lpwstr/>
  </property>
  <property fmtid="{D5CDD505-2E9C-101B-9397-08002B2CF9AE}" pid="17" name="Validation">
    <vt:lpwstr/>
  </property>
  <property fmtid="{D5CDD505-2E9C-101B-9397-08002B2CF9AE}" pid="18" name="Impact on business requirements for IT">
    <vt:lpwstr/>
  </property>
  <property fmtid="{D5CDD505-2E9C-101B-9397-08002B2CF9AE}" pid="19" name="About 2">
    <vt:lpwstr/>
  </property>
  <property fmtid="{D5CDD505-2E9C-101B-9397-08002B2CF9AE}" pid="20" name="Next date of delivery">
    <vt:lpwstr>2017-09-29T00:00:00Z</vt:lpwstr>
  </property>
  <property fmtid="{D5CDD505-2E9C-101B-9397-08002B2CF9AE}" pid="21" name="Working group REF DOC meeting">
    <vt:lpwstr/>
  </property>
  <property fmtid="{D5CDD505-2E9C-101B-9397-08002B2CF9AE}" pid="22" name="pgc6">
    <vt:lpwstr/>
  </property>
  <property fmtid="{D5CDD505-2E9C-101B-9397-08002B2CF9AE}" pid="23" name="Document">
    <vt:lpwstr>E+ Grant agreements (master files)</vt:lpwstr>
  </property>
</Properties>
</file>